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2C45F" w14:textId="516014CC" w:rsidR="009C0C83" w:rsidRPr="007A51DF" w:rsidRDefault="00500695" w:rsidP="007312A9">
      <w:pPr>
        <w:spacing w:after="0" w:line="240" w:lineRule="auto"/>
        <w:jc w:val="center"/>
        <w:rPr>
          <w:rFonts w:ascii="Avenir Next" w:hAnsi="Avenir Next" w:cstheme="minorHAnsi"/>
          <w:b/>
          <w:bCs/>
          <w:u w:val="single"/>
        </w:rPr>
      </w:pPr>
      <w:r w:rsidRPr="007A51DF">
        <w:rPr>
          <w:rFonts w:ascii="Avenir Next" w:hAnsi="Avenir Next" w:cstheme="minorHAnsi"/>
          <w:b/>
          <w:bCs/>
          <w:u w:val="single"/>
        </w:rPr>
        <w:t xml:space="preserve">Capital </w:t>
      </w:r>
      <w:r w:rsidR="001D1BF2" w:rsidRPr="007A51DF">
        <w:rPr>
          <w:rFonts w:ascii="Avenir Next" w:hAnsi="Avenir Next" w:cstheme="minorHAnsi"/>
          <w:b/>
          <w:bCs/>
          <w:u w:val="single"/>
        </w:rPr>
        <w:t xml:space="preserve">Project </w:t>
      </w:r>
      <w:r w:rsidR="00AE6ACB" w:rsidRPr="007A51DF">
        <w:rPr>
          <w:rFonts w:ascii="Avenir Next" w:hAnsi="Avenir Next" w:cstheme="minorHAnsi"/>
          <w:b/>
          <w:bCs/>
          <w:u w:val="single"/>
        </w:rPr>
        <w:t xml:space="preserve">Funding </w:t>
      </w:r>
      <w:r w:rsidRPr="007A51DF">
        <w:rPr>
          <w:rFonts w:ascii="Avenir Next" w:hAnsi="Avenir Next" w:cstheme="minorHAnsi"/>
          <w:b/>
          <w:bCs/>
          <w:u w:val="single"/>
        </w:rPr>
        <w:t>Program</w:t>
      </w:r>
      <w:r w:rsidR="00092BA9" w:rsidRPr="007A51DF">
        <w:rPr>
          <w:rFonts w:ascii="Avenir Next" w:hAnsi="Avenir Next" w:cstheme="minorHAnsi"/>
          <w:b/>
          <w:bCs/>
          <w:u w:val="single"/>
        </w:rPr>
        <w:t xml:space="preserve"> (CPFP)</w:t>
      </w:r>
    </w:p>
    <w:p w14:paraId="5E3519CF" w14:textId="77777777" w:rsidR="007312A9" w:rsidRDefault="007312A9" w:rsidP="00B1482B">
      <w:pPr>
        <w:pStyle w:val="NormalWeb"/>
        <w:spacing w:before="0" w:beforeAutospacing="0" w:after="0" w:afterAutospacing="0"/>
        <w:rPr>
          <w:rFonts w:ascii="Avenir Next" w:hAnsi="Avenir Next" w:cstheme="minorHAnsi"/>
          <w:sz w:val="22"/>
          <w:szCs w:val="22"/>
        </w:rPr>
      </w:pPr>
    </w:p>
    <w:p w14:paraId="1056D3CF" w14:textId="0F056D0C" w:rsidR="00B1482B" w:rsidRPr="007A51DF" w:rsidRDefault="00092BA9" w:rsidP="00B1482B">
      <w:pPr>
        <w:pStyle w:val="NormalWeb"/>
        <w:spacing w:before="0" w:beforeAutospacing="0" w:after="0" w:afterAutospacing="0"/>
        <w:rPr>
          <w:rFonts w:ascii="Avenir Next" w:hAnsi="Avenir Next"/>
          <w:sz w:val="22"/>
          <w:szCs w:val="22"/>
        </w:rPr>
      </w:pPr>
      <w:r w:rsidRPr="00092BA9">
        <w:rPr>
          <w:rFonts w:ascii="Avenir Next" w:hAnsi="Avenir Next" w:cstheme="minorHAnsi"/>
          <w:sz w:val="22"/>
          <w:szCs w:val="22"/>
        </w:rPr>
        <w:t xml:space="preserve">The CPFP will operate on a </w:t>
      </w:r>
      <w:r w:rsidRPr="007A51DF">
        <w:rPr>
          <w:rFonts w:ascii="Avenir Next" w:hAnsi="Avenir Next" w:cstheme="minorHAnsi"/>
          <w:sz w:val="22"/>
          <w:szCs w:val="22"/>
        </w:rPr>
        <w:t>two-year</w:t>
      </w:r>
      <w:r w:rsidRPr="00092BA9">
        <w:rPr>
          <w:rFonts w:ascii="Avenir Next" w:hAnsi="Avenir Next" w:cstheme="minorHAnsi"/>
          <w:sz w:val="22"/>
          <w:szCs w:val="22"/>
        </w:rPr>
        <w:t xml:space="preserve"> funding cycle beginning Fiscal Year (FY) 2019, or as otherwise approved by the BCC. </w:t>
      </w:r>
      <w:r w:rsidRPr="00092BA9">
        <w:rPr>
          <w:rFonts w:ascii="Avenir Next" w:hAnsi="Avenir Next" w:cstheme="minorHAnsi"/>
          <w:i/>
          <w:iCs/>
          <w:color w:val="C45911" w:themeColor="accent2" w:themeShade="BF"/>
          <w:sz w:val="22"/>
          <w:szCs w:val="22"/>
        </w:rPr>
        <w:t>Before the TDC initiates a funding cycle, the BCC may approve and establish a total pool of capital funding dollars available to fund projects for that CPFP funding cycle.</w:t>
      </w:r>
      <w:r w:rsidRPr="007A51DF">
        <w:rPr>
          <w:rFonts w:ascii="Avenir Next" w:hAnsi="Avenir Next" w:cstheme="minorHAnsi"/>
          <w:sz w:val="22"/>
          <w:szCs w:val="22"/>
        </w:rPr>
        <w:t xml:space="preserve"> </w:t>
      </w:r>
      <w:r w:rsidRPr="007A51DF">
        <w:rPr>
          <w:rFonts w:ascii="Avenir Next" w:hAnsi="Avenir Next"/>
          <w:i/>
          <w:iCs/>
          <w:color w:val="C45911" w:themeColor="accent2" w:themeShade="BF"/>
          <w:sz w:val="22"/>
          <w:szCs w:val="22"/>
        </w:rPr>
        <w:t xml:space="preserve">The funding guidelines </w:t>
      </w:r>
      <w:r w:rsidR="00A739AE" w:rsidRPr="007A51DF">
        <w:rPr>
          <w:rFonts w:ascii="Avenir Next" w:hAnsi="Avenir Next"/>
          <w:i/>
          <w:iCs/>
          <w:color w:val="C45911" w:themeColor="accent2" w:themeShade="BF"/>
          <w:sz w:val="22"/>
          <w:szCs w:val="22"/>
        </w:rPr>
        <w:t xml:space="preserve">will </w:t>
      </w:r>
      <w:r w:rsidRPr="007A51DF">
        <w:rPr>
          <w:rFonts w:ascii="Avenir Next" w:hAnsi="Avenir Next"/>
          <w:i/>
          <w:iCs/>
          <w:color w:val="C45911" w:themeColor="accent2" w:themeShade="BF"/>
          <w:sz w:val="22"/>
          <w:szCs w:val="22"/>
        </w:rPr>
        <w:t xml:space="preserve">be established by the </w:t>
      </w:r>
      <w:proofErr w:type="gramStart"/>
      <w:r w:rsidRPr="007A51DF">
        <w:rPr>
          <w:rFonts w:ascii="Avenir Next" w:hAnsi="Avenir Next"/>
          <w:i/>
          <w:iCs/>
          <w:color w:val="C45911" w:themeColor="accent2" w:themeShade="BF"/>
          <w:sz w:val="22"/>
          <w:szCs w:val="22"/>
        </w:rPr>
        <w:t>TDC, and</w:t>
      </w:r>
      <w:proofErr w:type="gramEnd"/>
      <w:r w:rsidRPr="007A51DF">
        <w:rPr>
          <w:rFonts w:ascii="Avenir Next" w:hAnsi="Avenir Next"/>
          <w:i/>
          <w:iCs/>
          <w:color w:val="C45911" w:themeColor="accent2" w:themeShade="BF"/>
          <w:sz w:val="22"/>
          <w:szCs w:val="22"/>
        </w:rPr>
        <w:t xml:space="preserve"> approved by the BCC</w:t>
      </w:r>
      <w:r w:rsidRPr="007A51DF">
        <w:rPr>
          <w:rFonts w:ascii="Avenir Next" w:hAnsi="Avenir Next"/>
          <w:sz w:val="22"/>
          <w:szCs w:val="22"/>
        </w:rPr>
        <w:t xml:space="preserve"> as part of its CPFP. These guidelines were developed to establish criteria to determine eligibility and define the application process, award criteria, and priorities for certain Group 2 tourist facilities as well as the sources and limits of funding available within each category of use. </w:t>
      </w:r>
      <w:r w:rsidR="00396113" w:rsidRPr="007A51DF">
        <w:rPr>
          <w:rFonts w:ascii="Avenir Next" w:hAnsi="Avenir Next"/>
          <w:sz w:val="22"/>
          <w:szCs w:val="22"/>
        </w:rPr>
        <w:t xml:space="preserve"> </w:t>
      </w:r>
      <w:r w:rsidR="00B1482B" w:rsidRPr="00B1482B">
        <w:rPr>
          <w:rFonts w:ascii="Avenir Next" w:hAnsi="Avenir Next"/>
          <w:sz w:val="22"/>
          <w:szCs w:val="22"/>
        </w:rPr>
        <w:t xml:space="preserve">Category C, D and E uses are defined in the Plan as follows: </w:t>
      </w:r>
    </w:p>
    <w:p w14:paraId="5EA8D3D9" w14:textId="77777777" w:rsidR="00345360" w:rsidRPr="00B1482B" w:rsidRDefault="00345360" w:rsidP="00B1482B">
      <w:pPr>
        <w:pStyle w:val="NormalWeb"/>
        <w:spacing w:before="0" w:beforeAutospacing="0" w:after="0" w:afterAutospacing="0"/>
        <w:rPr>
          <w:rFonts w:ascii="Avenir Next" w:hAnsi="Avenir Next"/>
          <w:sz w:val="22"/>
          <w:szCs w:val="22"/>
        </w:rPr>
      </w:pPr>
    </w:p>
    <w:p w14:paraId="6E0877CD" w14:textId="25F120FD" w:rsidR="00B1482B" w:rsidRPr="007A51DF" w:rsidRDefault="00B1482B" w:rsidP="00B1482B">
      <w:pPr>
        <w:pStyle w:val="NormalWeb"/>
        <w:numPr>
          <w:ilvl w:val="0"/>
          <w:numId w:val="8"/>
        </w:numPr>
        <w:spacing w:before="0" w:beforeAutospacing="0" w:after="0" w:afterAutospacing="0"/>
        <w:rPr>
          <w:rFonts w:ascii="Avenir Next" w:hAnsi="Avenir Next"/>
          <w:sz w:val="22"/>
          <w:szCs w:val="22"/>
        </w:rPr>
      </w:pPr>
      <w:r w:rsidRPr="00B1482B">
        <w:rPr>
          <w:rFonts w:ascii="Avenir Next" w:hAnsi="Avenir Next"/>
          <w:b/>
          <w:bCs/>
          <w:sz w:val="22"/>
          <w:szCs w:val="22"/>
          <w:u w:val="single"/>
        </w:rPr>
        <w:t>Category C</w:t>
      </w:r>
      <w:r w:rsidRPr="00B1482B">
        <w:rPr>
          <w:rFonts w:ascii="Avenir Next" w:hAnsi="Avenir Next"/>
          <w:sz w:val="22"/>
          <w:szCs w:val="22"/>
        </w:rPr>
        <w:t xml:space="preserve"> (Beach Improvement/Nourishment): Funding beach improvement,</w:t>
      </w:r>
      <w:r w:rsidR="00414838" w:rsidRPr="007A51DF">
        <w:rPr>
          <w:rFonts w:ascii="Avenir Next" w:hAnsi="Avenir Next"/>
          <w:sz w:val="22"/>
          <w:szCs w:val="22"/>
        </w:rPr>
        <w:t xml:space="preserve"> </w:t>
      </w:r>
      <w:r w:rsidRPr="00B1482B">
        <w:rPr>
          <w:rFonts w:ascii="Avenir Next" w:hAnsi="Avenir Next"/>
          <w:sz w:val="22"/>
          <w:szCs w:val="22"/>
        </w:rPr>
        <w:t xml:space="preserve">maintenance, renourishment, </w:t>
      </w:r>
      <w:r w:rsidR="00396113" w:rsidRPr="007A51DF">
        <w:rPr>
          <w:rFonts w:ascii="Avenir Next" w:hAnsi="Avenir Next"/>
          <w:sz w:val="22"/>
          <w:szCs w:val="22"/>
        </w:rPr>
        <w:t>restoration,</w:t>
      </w:r>
      <w:r w:rsidRPr="00B1482B">
        <w:rPr>
          <w:rFonts w:ascii="Avenir Next" w:hAnsi="Avenir Next"/>
          <w:sz w:val="22"/>
          <w:szCs w:val="22"/>
        </w:rPr>
        <w:t xml:space="preserve"> and erosion control. </w:t>
      </w:r>
      <w:r w:rsidR="007A51DF">
        <w:rPr>
          <w:rFonts w:ascii="Avenir Next" w:hAnsi="Avenir Next"/>
          <w:sz w:val="22"/>
          <w:szCs w:val="22"/>
        </w:rPr>
        <w:t xml:space="preserve"> </w:t>
      </w:r>
      <w:r w:rsidR="007A51DF" w:rsidRPr="00AB5712">
        <w:rPr>
          <w:rFonts w:ascii="Avenir Next" w:hAnsi="Avenir Next"/>
          <w:i/>
          <w:iCs/>
          <w:sz w:val="22"/>
          <w:szCs w:val="22"/>
        </w:rPr>
        <w:t>(Does not go through the CPFP process)</w:t>
      </w:r>
    </w:p>
    <w:p w14:paraId="1D23640B" w14:textId="77777777" w:rsidR="00345360" w:rsidRPr="00B1482B" w:rsidRDefault="00345360" w:rsidP="00345360">
      <w:pPr>
        <w:pStyle w:val="NormalWeb"/>
        <w:spacing w:before="0" w:beforeAutospacing="0" w:after="0" w:afterAutospacing="0"/>
        <w:rPr>
          <w:rFonts w:ascii="Avenir Next" w:hAnsi="Avenir Next"/>
          <w:sz w:val="22"/>
          <w:szCs w:val="22"/>
        </w:rPr>
      </w:pPr>
    </w:p>
    <w:p w14:paraId="24AA2346" w14:textId="71C1B38A" w:rsidR="00B1482B" w:rsidRPr="007A51DF" w:rsidRDefault="00B1482B" w:rsidP="00B1482B">
      <w:pPr>
        <w:pStyle w:val="NormalWeb"/>
        <w:numPr>
          <w:ilvl w:val="0"/>
          <w:numId w:val="8"/>
        </w:numPr>
        <w:spacing w:before="0" w:beforeAutospacing="0" w:after="0" w:afterAutospacing="0"/>
        <w:rPr>
          <w:rFonts w:ascii="Avenir Next" w:hAnsi="Avenir Next"/>
          <w:sz w:val="22"/>
          <w:szCs w:val="22"/>
        </w:rPr>
      </w:pPr>
      <w:r w:rsidRPr="00B1482B">
        <w:rPr>
          <w:rFonts w:ascii="Avenir Next" w:hAnsi="Avenir Next"/>
          <w:b/>
          <w:bCs/>
          <w:sz w:val="22"/>
          <w:szCs w:val="22"/>
          <w:u w:val="single"/>
        </w:rPr>
        <w:t>Category D</w:t>
      </w:r>
      <w:r w:rsidRPr="00B1482B">
        <w:rPr>
          <w:rFonts w:ascii="Avenir Next" w:hAnsi="Avenir Next"/>
          <w:sz w:val="22"/>
          <w:szCs w:val="22"/>
        </w:rPr>
        <w:t xml:space="preserve"> (Capital Funding/Debt Service Other): Funding annually as matching funds (applicants must have at least $1.00 for every $1.00 of Category D tourist tax funding) to acquire, construct, extend, enlarge, remodel, repair, improve, maintain, or provide debt service on one or more publicly owned and operated convention centers, coliseums, or auditoriums as well as aquariums or museums that are publicly owned and operated or owned and operated by not-for-profit organizations and open to the public, and sports and recreation facilities not eligible for Category E funding below (hereinafter referred to as “Eligible Facilities”). Eligible Facilities must be located within Pinellas County and demonstrate the ability to attract tourists from the State of Florida, nationally or internationally. </w:t>
      </w:r>
    </w:p>
    <w:p w14:paraId="2F11A228" w14:textId="77777777" w:rsidR="00345360" w:rsidRPr="00B1482B" w:rsidRDefault="00345360" w:rsidP="00345360">
      <w:pPr>
        <w:pStyle w:val="NormalWeb"/>
        <w:spacing w:before="0" w:beforeAutospacing="0" w:after="0" w:afterAutospacing="0"/>
        <w:rPr>
          <w:rFonts w:ascii="Avenir Next" w:hAnsi="Avenir Next"/>
          <w:sz w:val="22"/>
          <w:szCs w:val="22"/>
        </w:rPr>
      </w:pPr>
    </w:p>
    <w:p w14:paraId="2E17EAC1" w14:textId="178C371E" w:rsidR="00B1482B" w:rsidRPr="007A51DF" w:rsidRDefault="00B1482B" w:rsidP="00074857">
      <w:pPr>
        <w:pStyle w:val="NormalWeb"/>
        <w:numPr>
          <w:ilvl w:val="0"/>
          <w:numId w:val="8"/>
        </w:numPr>
        <w:spacing w:before="0" w:beforeAutospacing="0" w:after="0" w:afterAutospacing="0"/>
        <w:rPr>
          <w:rFonts w:ascii="Avenir Next" w:hAnsi="Avenir Next"/>
          <w:sz w:val="22"/>
          <w:szCs w:val="22"/>
        </w:rPr>
      </w:pPr>
      <w:r w:rsidRPr="00B1482B">
        <w:rPr>
          <w:rFonts w:ascii="Avenir Next" w:hAnsi="Avenir Next"/>
          <w:b/>
          <w:bCs/>
          <w:sz w:val="22"/>
          <w:szCs w:val="22"/>
          <w:u w:val="single"/>
        </w:rPr>
        <w:t>Category E</w:t>
      </w:r>
      <w:r w:rsidRPr="00B1482B">
        <w:rPr>
          <w:rFonts w:ascii="Avenir Next" w:hAnsi="Avenir Next"/>
          <w:sz w:val="22"/>
          <w:szCs w:val="22"/>
        </w:rPr>
        <w:t xml:space="preserve"> (Debt Service/Professional Sports and Convention Center Capital Costs): Funding for debt service payments for bonds issued to finance the construction, reconstruction, or renovation of any of the following facilities: (</w:t>
      </w:r>
      <w:proofErr w:type="spellStart"/>
      <w:r w:rsidRPr="00B1482B">
        <w:rPr>
          <w:rFonts w:ascii="Avenir Next" w:hAnsi="Avenir Next"/>
          <w:sz w:val="22"/>
          <w:szCs w:val="22"/>
        </w:rPr>
        <w:t>i</w:t>
      </w:r>
      <w:proofErr w:type="spellEnd"/>
      <w:r w:rsidRPr="00B1482B">
        <w:rPr>
          <w:rFonts w:ascii="Avenir Next" w:hAnsi="Avenir Next"/>
          <w:sz w:val="22"/>
          <w:szCs w:val="22"/>
        </w:rPr>
        <w:t xml:space="preserve">) a professional sports franchise facility located within Pinellas County either publicly owned and operated, or publicly owned and operated by the owner of a professional sports franchise or other lessee with sufficient expertise or financial capability to operate such facility, and to pay the planning and design costs incurred prior to the issuance of such bonds; (ii) a retained spring training facility located within Pinellas County either publicly owned and operated, or publicly owned and operated by the owner of a professional sports franchise or other lessee with sufficient expertise or financial capability to operate such facility, and to pay the planning and design costs incurred prior to the issuance of such bonds; or (iii) a convention center located within Pinellas County, and to pay the planning and design costs prior to the issuance of such bonds. </w:t>
      </w:r>
    </w:p>
    <w:p w14:paraId="792B3324" w14:textId="0955E398" w:rsidR="005D4D55" w:rsidRPr="007A51DF" w:rsidRDefault="005D4D55">
      <w:pPr>
        <w:rPr>
          <w:rFonts w:ascii="Avenir Next" w:eastAsia="Times New Roman" w:hAnsi="Avenir Next" w:cs="Times New Roman"/>
        </w:rPr>
      </w:pPr>
      <w:r w:rsidRPr="007A51DF">
        <w:rPr>
          <w:rFonts w:ascii="Avenir Next" w:hAnsi="Avenir Next"/>
        </w:rPr>
        <w:br w:type="page"/>
      </w:r>
    </w:p>
    <w:p w14:paraId="3F08E6E8" w14:textId="77777777" w:rsidR="005D4D55" w:rsidRPr="00B1482B" w:rsidRDefault="005D4D55" w:rsidP="005D4D55">
      <w:pPr>
        <w:pStyle w:val="NormalWeb"/>
        <w:spacing w:before="0" w:beforeAutospacing="0" w:after="0" w:afterAutospacing="0"/>
        <w:rPr>
          <w:rFonts w:ascii="Avenir Next" w:hAnsi="Avenir Next"/>
          <w:sz w:val="22"/>
          <w:szCs w:val="22"/>
        </w:rPr>
      </w:pPr>
    </w:p>
    <w:p w14:paraId="77C7D720" w14:textId="77777777" w:rsidR="00345360" w:rsidRPr="007A51DF" w:rsidRDefault="00396113" w:rsidP="00B1482B">
      <w:pPr>
        <w:pStyle w:val="NormalWeb"/>
        <w:spacing w:before="0" w:beforeAutospacing="0" w:after="0" w:afterAutospacing="0"/>
        <w:rPr>
          <w:rFonts w:ascii="Avenir Next" w:hAnsi="Avenir Next"/>
          <w:sz w:val="22"/>
          <w:szCs w:val="22"/>
        </w:rPr>
      </w:pPr>
      <w:r w:rsidRPr="007A51DF">
        <w:rPr>
          <w:rFonts w:ascii="Avenir Next" w:hAnsi="Avenir Next"/>
          <w:b/>
          <w:bCs/>
          <w:sz w:val="22"/>
          <w:szCs w:val="22"/>
          <w:u w:val="single"/>
        </w:rPr>
        <w:t>Category D-E</w:t>
      </w:r>
      <w:r w:rsidR="00B1482B" w:rsidRPr="00B1482B">
        <w:rPr>
          <w:rFonts w:ascii="Avenir Next" w:hAnsi="Avenir Next"/>
          <w:b/>
          <w:bCs/>
          <w:sz w:val="22"/>
          <w:szCs w:val="22"/>
          <w:u w:val="single"/>
        </w:rPr>
        <w:t xml:space="preserve"> Capital Funding requests</w:t>
      </w:r>
      <w:r w:rsidR="00B1482B" w:rsidRPr="00B1482B">
        <w:rPr>
          <w:rFonts w:ascii="Avenir Next" w:hAnsi="Avenir Next"/>
          <w:sz w:val="22"/>
          <w:szCs w:val="22"/>
        </w:rPr>
        <w:t xml:space="preserve"> shall be considered in accordance with the following:</w:t>
      </w:r>
    </w:p>
    <w:p w14:paraId="6695BC09" w14:textId="5E40D212" w:rsidR="00B1482B" w:rsidRPr="00B1482B" w:rsidRDefault="00B1482B" w:rsidP="00B1482B">
      <w:pPr>
        <w:pStyle w:val="NormalWeb"/>
        <w:spacing w:before="0" w:beforeAutospacing="0" w:after="0" w:afterAutospacing="0"/>
        <w:rPr>
          <w:rFonts w:ascii="Avenir Next" w:hAnsi="Avenir Next"/>
          <w:sz w:val="22"/>
          <w:szCs w:val="22"/>
        </w:rPr>
      </w:pPr>
      <w:r w:rsidRPr="00B1482B">
        <w:rPr>
          <w:rFonts w:ascii="Avenir Next" w:hAnsi="Avenir Next"/>
          <w:sz w:val="22"/>
          <w:szCs w:val="22"/>
        </w:rPr>
        <w:t xml:space="preserve"> </w:t>
      </w:r>
    </w:p>
    <w:p w14:paraId="195BA1E1" w14:textId="6AF24218" w:rsidR="00B1482B" w:rsidRPr="007A51DF" w:rsidRDefault="00B1482B" w:rsidP="00414838">
      <w:pPr>
        <w:pStyle w:val="NormalWeb"/>
        <w:numPr>
          <w:ilvl w:val="0"/>
          <w:numId w:val="9"/>
        </w:numPr>
        <w:spacing w:before="0" w:beforeAutospacing="0" w:after="0" w:afterAutospacing="0"/>
        <w:rPr>
          <w:rFonts w:ascii="Avenir Next" w:hAnsi="Avenir Next"/>
          <w:sz w:val="22"/>
          <w:szCs w:val="22"/>
        </w:rPr>
      </w:pPr>
      <w:r w:rsidRPr="00B1482B">
        <w:rPr>
          <w:rFonts w:ascii="Avenir Next" w:hAnsi="Avenir Next"/>
          <w:sz w:val="22"/>
          <w:szCs w:val="22"/>
        </w:rPr>
        <w:t xml:space="preserve">Funding for </w:t>
      </w:r>
      <w:r w:rsidRPr="00B1482B">
        <w:rPr>
          <w:rFonts w:ascii="Avenir Next" w:hAnsi="Avenir Next"/>
          <w:b/>
          <w:bCs/>
          <w:sz w:val="22"/>
          <w:szCs w:val="22"/>
          <w:u w:val="single"/>
        </w:rPr>
        <w:t>Category D</w:t>
      </w:r>
      <w:r w:rsidRPr="00B1482B">
        <w:rPr>
          <w:rFonts w:ascii="Avenir Next" w:hAnsi="Avenir Next"/>
          <w:sz w:val="22"/>
          <w:szCs w:val="22"/>
        </w:rPr>
        <w:t xml:space="preserve"> projects requesting </w:t>
      </w:r>
      <w:r w:rsidRPr="00B1482B">
        <w:rPr>
          <w:rFonts w:ascii="Avenir Next" w:hAnsi="Avenir Next"/>
          <w:i/>
          <w:iCs/>
          <w:sz w:val="22"/>
          <w:szCs w:val="22"/>
          <w:u w:val="single"/>
        </w:rPr>
        <w:t>up to</w:t>
      </w:r>
      <w:r w:rsidRPr="00B1482B">
        <w:rPr>
          <w:rFonts w:ascii="Avenir Next" w:hAnsi="Avenir Next"/>
          <w:i/>
          <w:iCs/>
          <w:sz w:val="22"/>
          <w:szCs w:val="22"/>
        </w:rPr>
        <w:t xml:space="preserve"> $10 million</w:t>
      </w:r>
      <w:r w:rsidRPr="00B1482B">
        <w:rPr>
          <w:rFonts w:ascii="Avenir Next" w:hAnsi="Avenir Next"/>
          <w:sz w:val="22"/>
          <w:szCs w:val="22"/>
        </w:rPr>
        <w:t xml:space="preserve"> net present value (NPV) shall be subject to these Guidelines and reviewed and considered in accordance with Sections II through IX</w:t>
      </w:r>
      <w:r w:rsidR="00FF19F4">
        <w:rPr>
          <w:rFonts w:ascii="Avenir Next" w:hAnsi="Avenir Next"/>
          <w:sz w:val="22"/>
          <w:szCs w:val="22"/>
        </w:rPr>
        <w:t>.</w:t>
      </w:r>
      <w:r w:rsidRPr="00B1482B">
        <w:rPr>
          <w:rFonts w:ascii="Avenir Next" w:hAnsi="Avenir Next"/>
          <w:sz w:val="22"/>
          <w:szCs w:val="22"/>
        </w:rPr>
        <w:t xml:space="preserve"> </w:t>
      </w:r>
    </w:p>
    <w:p w14:paraId="347D2B61" w14:textId="77777777" w:rsidR="005D4D55" w:rsidRPr="00B1482B" w:rsidRDefault="005D4D55" w:rsidP="005D4D55">
      <w:pPr>
        <w:pStyle w:val="NormalWeb"/>
        <w:spacing w:before="0" w:beforeAutospacing="0" w:after="0" w:afterAutospacing="0"/>
        <w:rPr>
          <w:rFonts w:ascii="Avenir Next" w:hAnsi="Avenir Next"/>
          <w:sz w:val="22"/>
          <w:szCs w:val="22"/>
        </w:rPr>
      </w:pPr>
    </w:p>
    <w:p w14:paraId="6B5DEAD6" w14:textId="5268BFA0" w:rsidR="00B1482B" w:rsidRPr="007A51DF" w:rsidRDefault="00B1482B" w:rsidP="00414838">
      <w:pPr>
        <w:pStyle w:val="NormalWeb"/>
        <w:numPr>
          <w:ilvl w:val="0"/>
          <w:numId w:val="9"/>
        </w:numPr>
        <w:spacing w:before="0" w:beforeAutospacing="0" w:after="0" w:afterAutospacing="0"/>
        <w:rPr>
          <w:rFonts w:ascii="Avenir Next" w:hAnsi="Avenir Next"/>
          <w:sz w:val="22"/>
          <w:szCs w:val="22"/>
        </w:rPr>
      </w:pPr>
      <w:r w:rsidRPr="00B1482B">
        <w:rPr>
          <w:rFonts w:ascii="Avenir Next" w:hAnsi="Avenir Next"/>
          <w:sz w:val="22"/>
          <w:szCs w:val="22"/>
        </w:rPr>
        <w:t xml:space="preserve">Funding for </w:t>
      </w:r>
      <w:r w:rsidRPr="00B1482B">
        <w:rPr>
          <w:rFonts w:ascii="Avenir Next" w:hAnsi="Avenir Next"/>
          <w:b/>
          <w:bCs/>
          <w:sz w:val="22"/>
          <w:szCs w:val="22"/>
          <w:u w:val="single"/>
        </w:rPr>
        <w:t>Category D</w:t>
      </w:r>
      <w:r w:rsidRPr="00B1482B">
        <w:rPr>
          <w:rFonts w:ascii="Avenir Next" w:hAnsi="Avenir Next"/>
          <w:sz w:val="22"/>
          <w:szCs w:val="22"/>
        </w:rPr>
        <w:t xml:space="preserve"> projects requesting </w:t>
      </w:r>
      <w:r w:rsidRPr="00B1482B">
        <w:rPr>
          <w:rFonts w:ascii="Avenir Next" w:hAnsi="Avenir Next"/>
          <w:i/>
          <w:iCs/>
          <w:sz w:val="22"/>
          <w:szCs w:val="22"/>
          <w:u w:val="single"/>
        </w:rPr>
        <w:t>more than</w:t>
      </w:r>
      <w:r w:rsidRPr="00B1482B">
        <w:rPr>
          <w:rFonts w:ascii="Avenir Next" w:hAnsi="Avenir Next"/>
          <w:i/>
          <w:iCs/>
          <w:sz w:val="22"/>
          <w:szCs w:val="22"/>
        </w:rPr>
        <w:t xml:space="preserve"> $10 million</w:t>
      </w:r>
      <w:r w:rsidRPr="00B1482B">
        <w:rPr>
          <w:rFonts w:ascii="Avenir Next" w:hAnsi="Avenir Next"/>
          <w:sz w:val="22"/>
          <w:szCs w:val="22"/>
        </w:rPr>
        <w:t xml:space="preserve"> NPV, or that request funding that exceeds the total pool of available capital funding dollars established by the BCC for that funding cycle, or that cannot satisfy the eligibility requirements herein but will provide significant Marketing and Tourism Economic Benefits shall be first presented to the BCC for approval to allow the applicant to participate in the funding cycle application process. </w:t>
      </w:r>
    </w:p>
    <w:p w14:paraId="5A40300E" w14:textId="77777777" w:rsidR="00976E6A" w:rsidRPr="00B1482B" w:rsidRDefault="00976E6A" w:rsidP="00976E6A">
      <w:pPr>
        <w:pStyle w:val="NormalWeb"/>
        <w:spacing w:before="0" w:beforeAutospacing="0" w:after="0" w:afterAutospacing="0"/>
        <w:rPr>
          <w:rFonts w:ascii="Avenir Next" w:hAnsi="Avenir Next"/>
          <w:sz w:val="22"/>
          <w:szCs w:val="22"/>
        </w:rPr>
      </w:pPr>
    </w:p>
    <w:p w14:paraId="1EE7A581" w14:textId="2753055F" w:rsidR="00092BA9" w:rsidRPr="007A51DF" w:rsidRDefault="00B1482B" w:rsidP="00B1482B">
      <w:pPr>
        <w:pStyle w:val="NormalWeb"/>
        <w:numPr>
          <w:ilvl w:val="0"/>
          <w:numId w:val="9"/>
        </w:numPr>
        <w:spacing w:before="0" w:beforeAutospacing="0" w:after="0" w:afterAutospacing="0"/>
        <w:rPr>
          <w:rFonts w:ascii="Avenir Next" w:hAnsi="Avenir Next"/>
          <w:sz w:val="22"/>
          <w:szCs w:val="22"/>
        </w:rPr>
      </w:pPr>
      <w:r w:rsidRPr="00B1482B">
        <w:rPr>
          <w:rFonts w:ascii="Avenir Next" w:hAnsi="Avenir Next"/>
          <w:sz w:val="22"/>
          <w:szCs w:val="22"/>
        </w:rPr>
        <w:t xml:space="preserve">Funding for </w:t>
      </w:r>
      <w:r w:rsidRPr="00B1482B">
        <w:rPr>
          <w:rFonts w:ascii="Avenir Next" w:hAnsi="Avenir Next"/>
          <w:b/>
          <w:bCs/>
          <w:sz w:val="22"/>
          <w:szCs w:val="22"/>
          <w:u w:val="single"/>
        </w:rPr>
        <w:t>Category E</w:t>
      </w:r>
      <w:r w:rsidRPr="00B1482B">
        <w:rPr>
          <w:rFonts w:ascii="Avenir Next" w:hAnsi="Avenir Next"/>
          <w:sz w:val="22"/>
          <w:szCs w:val="22"/>
        </w:rPr>
        <w:t xml:space="preserve"> projects shall not be considered or awarded through the CPFP, as these types of project requests shall be </w:t>
      </w:r>
      <w:r w:rsidRPr="00B1482B">
        <w:rPr>
          <w:rFonts w:ascii="Avenir Next" w:hAnsi="Avenir Next"/>
          <w:i/>
          <w:iCs/>
          <w:color w:val="C45911" w:themeColor="accent2" w:themeShade="BF"/>
          <w:sz w:val="22"/>
          <w:szCs w:val="22"/>
        </w:rPr>
        <w:t>first presented to the BCC</w:t>
      </w:r>
      <w:r w:rsidRPr="00B1482B">
        <w:rPr>
          <w:rFonts w:ascii="Avenir Next" w:hAnsi="Avenir Next"/>
          <w:color w:val="C45911" w:themeColor="accent2" w:themeShade="BF"/>
          <w:sz w:val="22"/>
          <w:szCs w:val="22"/>
        </w:rPr>
        <w:t xml:space="preserve"> </w:t>
      </w:r>
      <w:r w:rsidRPr="00B1482B">
        <w:rPr>
          <w:rFonts w:ascii="Avenir Next" w:hAnsi="Avenir Next"/>
          <w:sz w:val="22"/>
          <w:szCs w:val="22"/>
        </w:rPr>
        <w:t>for consideration and conceptual approval. This will allow County staff to address</w:t>
      </w:r>
      <w:r w:rsidR="004D722E" w:rsidRPr="007A51DF">
        <w:rPr>
          <w:rFonts w:ascii="Avenir Next" w:hAnsi="Avenir Next"/>
          <w:sz w:val="22"/>
          <w:szCs w:val="22"/>
        </w:rPr>
        <w:t xml:space="preserve"> </w:t>
      </w:r>
      <w:r w:rsidRPr="00B1482B">
        <w:rPr>
          <w:rFonts w:ascii="Avenir Next" w:hAnsi="Avenir Next"/>
          <w:sz w:val="22"/>
          <w:szCs w:val="22"/>
        </w:rPr>
        <w:t xml:space="preserve">County issues and the financing structure as part of the deal negotiations from early in the process and facilitate a timely resolution of all issues for all parties. </w:t>
      </w:r>
      <w:r w:rsidRPr="00B1482B">
        <w:rPr>
          <w:rFonts w:ascii="Avenir Next" w:hAnsi="Avenir Next"/>
          <w:i/>
          <w:iCs/>
          <w:color w:val="C45911" w:themeColor="accent2" w:themeShade="BF"/>
          <w:sz w:val="22"/>
          <w:szCs w:val="22"/>
        </w:rPr>
        <w:t>The BCC shall determine the criteria, timeline, applicant submittals and reviews required for Category E funding.</w:t>
      </w:r>
      <w:r w:rsidRPr="00B1482B">
        <w:rPr>
          <w:rFonts w:ascii="Avenir Next" w:hAnsi="Avenir Next"/>
          <w:color w:val="C45911" w:themeColor="accent2" w:themeShade="BF"/>
          <w:sz w:val="22"/>
          <w:szCs w:val="22"/>
        </w:rPr>
        <w:t xml:space="preserve"> </w:t>
      </w:r>
      <w:r w:rsidRPr="00B1482B">
        <w:rPr>
          <w:rFonts w:ascii="Avenir Next" w:hAnsi="Avenir Next"/>
          <w:sz w:val="22"/>
          <w:szCs w:val="22"/>
        </w:rPr>
        <w:t xml:space="preserve">The TDC can provide guidance and recommendations throughout the County’s negotiation process, as well as make a funding recommendation on the project based on the proposed final deal terms to be later approved by the BCC. </w:t>
      </w:r>
    </w:p>
    <w:p w14:paraId="27023CA9" w14:textId="1BDDDDBD" w:rsidR="003B3999" w:rsidRPr="007A51DF" w:rsidRDefault="003B3999" w:rsidP="00B1482B">
      <w:pPr>
        <w:spacing w:after="0" w:line="240" w:lineRule="auto"/>
        <w:rPr>
          <w:rFonts w:ascii="Avenir Next" w:hAnsi="Avenir Next" w:cstheme="minorHAnsi"/>
        </w:rPr>
      </w:pPr>
    </w:p>
    <w:p w14:paraId="299053EF" w14:textId="41C73F0F" w:rsidR="003B3999" w:rsidRPr="007A51DF" w:rsidRDefault="003B3999" w:rsidP="000F39BE">
      <w:pPr>
        <w:spacing w:after="0" w:line="240" w:lineRule="auto"/>
        <w:rPr>
          <w:rFonts w:ascii="Avenir Next" w:hAnsi="Avenir Next" w:cstheme="minorHAnsi"/>
          <w:b/>
          <w:bCs/>
          <w:u w:val="single"/>
        </w:rPr>
      </w:pPr>
      <w:r w:rsidRPr="007A51DF">
        <w:rPr>
          <w:rFonts w:ascii="Avenir Next" w:hAnsi="Avenir Next" w:cstheme="minorHAnsi"/>
          <w:b/>
          <w:bCs/>
          <w:u w:val="single"/>
        </w:rPr>
        <w:t>Discussion Items</w:t>
      </w:r>
      <w:r w:rsidR="004E79D4" w:rsidRPr="007A51DF">
        <w:rPr>
          <w:rFonts w:ascii="Avenir Next" w:hAnsi="Avenir Next" w:cstheme="minorHAnsi"/>
          <w:b/>
          <w:bCs/>
          <w:u w:val="single"/>
        </w:rPr>
        <w:t xml:space="preserve"> with TDC</w:t>
      </w:r>
      <w:r w:rsidRPr="007A51DF">
        <w:rPr>
          <w:rFonts w:ascii="Avenir Next" w:hAnsi="Avenir Next" w:cstheme="minorHAnsi"/>
          <w:b/>
          <w:bCs/>
          <w:u w:val="single"/>
        </w:rPr>
        <w:t>:</w:t>
      </w:r>
    </w:p>
    <w:p w14:paraId="4655EF77" w14:textId="0E7F177A" w:rsidR="00976E6A" w:rsidRPr="007A51DF" w:rsidRDefault="0063635B" w:rsidP="00AB5712">
      <w:pPr>
        <w:pStyle w:val="ListParagraph"/>
        <w:numPr>
          <w:ilvl w:val="0"/>
          <w:numId w:val="10"/>
        </w:numPr>
        <w:ind w:left="270" w:hanging="270"/>
        <w:rPr>
          <w:rFonts w:ascii="Avenir Next" w:hAnsi="Avenir Next" w:cstheme="minorHAnsi"/>
          <w:sz w:val="22"/>
          <w:szCs w:val="22"/>
        </w:rPr>
      </w:pPr>
      <w:r w:rsidRPr="007A51DF">
        <w:rPr>
          <w:rFonts w:ascii="Avenir Next" w:hAnsi="Avenir Next" w:cstheme="minorHAnsi"/>
          <w:sz w:val="22"/>
          <w:szCs w:val="22"/>
        </w:rPr>
        <w:t xml:space="preserve">Original guidelines approved in May 2014 with amendments/changes in 2016 and 2017. </w:t>
      </w:r>
      <w:r w:rsidR="00976E6A" w:rsidRPr="007A51DF">
        <w:rPr>
          <w:rFonts w:ascii="Avenir Next" w:hAnsi="Avenir Next" w:cstheme="minorHAnsi"/>
          <w:sz w:val="22"/>
          <w:szCs w:val="22"/>
        </w:rPr>
        <w:t>Last revisions to the guidelines took place in</w:t>
      </w:r>
      <w:r w:rsidRPr="007A51DF">
        <w:rPr>
          <w:rFonts w:ascii="Avenir Next" w:hAnsi="Avenir Next" w:cstheme="minorHAnsi"/>
          <w:sz w:val="22"/>
          <w:szCs w:val="22"/>
        </w:rPr>
        <w:t xml:space="preserve"> August of 2018</w:t>
      </w:r>
    </w:p>
    <w:p w14:paraId="7E802034" w14:textId="5382706F" w:rsidR="003B3999" w:rsidRPr="007A51DF" w:rsidRDefault="001941A3" w:rsidP="00AB5712">
      <w:pPr>
        <w:pStyle w:val="ListParagraph"/>
        <w:numPr>
          <w:ilvl w:val="0"/>
          <w:numId w:val="10"/>
        </w:numPr>
        <w:ind w:left="270" w:hanging="270"/>
        <w:rPr>
          <w:rFonts w:ascii="Avenir Next" w:hAnsi="Avenir Next" w:cstheme="minorHAnsi"/>
          <w:sz w:val="22"/>
          <w:szCs w:val="22"/>
        </w:rPr>
      </w:pPr>
      <w:r w:rsidRPr="007A51DF">
        <w:rPr>
          <w:rFonts w:ascii="Avenir Next" w:hAnsi="Avenir Next" w:cstheme="minorHAnsi"/>
          <w:sz w:val="22"/>
          <w:szCs w:val="22"/>
        </w:rPr>
        <w:t>Minor changes to the language (clean-up)</w:t>
      </w:r>
      <w:r w:rsidR="00866B69" w:rsidRPr="007A51DF">
        <w:rPr>
          <w:rFonts w:ascii="Avenir Next" w:hAnsi="Avenir Next" w:cstheme="minorHAnsi"/>
          <w:sz w:val="22"/>
          <w:szCs w:val="22"/>
        </w:rPr>
        <w:t xml:space="preserve"> and make sure it is still in compliance with FS 125.0104</w:t>
      </w:r>
      <w:r w:rsidR="00D22990" w:rsidRPr="007A51DF">
        <w:rPr>
          <w:rFonts w:ascii="Avenir Next" w:hAnsi="Avenir Next" w:cstheme="minorHAnsi"/>
          <w:sz w:val="22"/>
          <w:szCs w:val="22"/>
        </w:rPr>
        <w:t xml:space="preserve"> and TDT Plan for Pinellas County</w:t>
      </w:r>
    </w:p>
    <w:p w14:paraId="16386ECF" w14:textId="748B36EA" w:rsidR="001941A3" w:rsidRPr="007A51DF" w:rsidRDefault="006A692E" w:rsidP="00AB5712">
      <w:pPr>
        <w:pStyle w:val="ListParagraph"/>
        <w:numPr>
          <w:ilvl w:val="0"/>
          <w:numId w:val="10"/>
        </w:numPr>
        <w:ind w:left="270" w:hanging="270"/>
        <w:rPr>
          <w:rFonts w:ascii="Avenir Next" w:hAnsi="Avenir Next" w:cstheme="minorHAnsi"/>
          <w:sz w:val="22"/>
          <w:szCs w:val="22"/>
        </w:rPr>
      </w:pPr>
      <w:r w:rsidRPr="007A51DF">
        <w:rPr>
          <w:rFonts w:ascii="Avenir Next" w:hAnsi="Avenir Next" w:cstheme="minorHAnsi"/>
          <w:sz w:val="22"/>
          <w:szCs w:val="22"/>
        </w:rPr>
        <w:t xml:space="preserve">Reimbursements: </w:t>
      </w:r>
      <w:r w:rsidR="00D34891">
        <w:rPr>
          <w:rFonts w:ascii="Avenir Next" w:hAnsi="Avenir Next" w:cstheme="minorHAnsi"/>
          <w:sz w:val="22"/>
          <w:szCs w:val="22"/>
        </w:rPr>
        <w:t xml:space="preserve">based </w:t>
      </w:r>
      <w:r w:rsidR="00674724" w:rsidRPr="007A51DF">
        <w:rPr>
          <w:rFonts w:ascii="Avenir Next" w:hAnsi="Avenir Next" w:cstheme="minorHAnsi"/>
          <w:sz w:val="22"/>
          <w:szCs w:val="22"/>
        </w:rPr>
        <w:t xml:space="preserve">upon </w:t>
      </w:r>
      <w:r w:rsidR="00B969F6" w:rsidRPr="007A51DF">
        <w:rPr>
          <w:rFonts w:ascii="Avenir Next" w:hAnsi="Avenir Next" w:cstheme="minorHAnsi"/>
          <w:sz w:val="22"/>
          <w:szCs w:val="22"/>
        </w:rPr>
        <w:t xml:space="preserve">milestones </w:t>
      </w:r>
      <w:r w:rsidR="00357453">
        <w:rPr>
          <w:rFonts w:ascii="Avenir Next" w:hAnsi="Avenir Next" w:cstheme="minorHAnsi"/>
          <w:sz w:val="22"/>
          <w:szCs w:val="22"/>
        </w:rPr>
        <w:t xml:space="preserve">or time periods </w:t>
      </w:r>
      <w:r w:rsidR="00B969F6">
        <w:rPr>
          <w:rFonts w:ascii="Avenir Next" w:hAnsi="Avenir Next" w:cstheme="minorHAnsi"/>
          <w:sz w:val="22"/>
          <w:szCs w:val="22"/>
        </w:rPr>
        <w:t xml:space="preserve">vs. </w:t>
      </w:r>
      <w:r w:rsidR="00674724" w:rsidRPr="007A51DF">
        <w:rPr>
          <w:rFonts w:ascii="Avenir Next" w:hAnsi="Avenir Next" w:cstheme="minorHAnsi"/>
          <w:sz w:val="22"/>
          <w:szCs w:val="22"/>
        </w:rPr>
        <w:t xml:space="preserve">completion </w:t>
      </w:r>
      <w:r w:rsidR="00866B69" w:rsidRPr="007A51DF">
        <w:rPr>
          <w:rFonts w:ascii="Avenir Next" w:hAnsi="Avenir Next" w:cstheme="minorHAnsi"/>
          <w:sz w:val="22"/>
          <w:szCs w:val="22"/>
        </w:rPr>
        <w:t xml:space="preserve">(was changed </w:t>
      </w:r>
      <w:r w:rsidR="00B969F6">
        <w:rPr>
          <w:rFonts w:ascii="Avenir Next" w:hAnsi="Avenir Next" w:cstheme="minorHAnsi"/>
          <w:sz w:val="22"/>
          <w:szCs w:val="22"/>
        </w:rPr>
        <w:t xml:space="preserve">to latter </w:t>
      </w:r>
      <w:r w:rsidR="00866B69" w:rsidRPr="007A51DF">
        <w:rPr>
          <w:rFonts w:ascii="Avenir Next" w:hAnsi="Avenir Next" w:cstheme="minorHAnsi"/>
          <w:sz w:val="22"/>
          <w:szCs w:val="22"/>
        </w:rPr>
        <w:t>in 201</w:t>
      </w:r>
      <w:r w:rsidR="00350104" w:rsidRPr="007A51DF">
        <w:rPr>
          <w:rFonts w:ascii="Avenir Next" w:hAnsi="Avenir Next" w:cstheme="minorHAnsi"/>
          <w:sz w:val="22"/>
          <w:szCs w:val="22"/>
        </w:rPr>
        <w:t>8</w:t>
      </w:r>
      <w:r w:rsidR="00866B69" w:rsidRPr="007A51DF">
        <w:rPr>
          <w:rFonts w:ascii="Avenir Next" w:hAnsi="Avenir Next" w:cstheme="minorHAnsi"/>
          <w:sz w:val="22"/>
          <w:szCs w:val="22"/>
        </w:rPr>
        <w:t>)</w:t>
      </w:r>
    </w:p>
    <w:p w14:paraId="483176B9" w14:textId="5D8BA037" w:rsidR="00674724" w:rsidRPr="007A51DF" w:rsidRDefault="00423B21" w:rsidP="00AB5712">
      <w:pPr>
        <w:pStyle w:val="ListParagraph"/>
        <w:numPr>
          <w:ilvl w:val="0"/>
          <w:numId w:val="10"/>
        </w:numPr>
        <w:ind w:left="270" w:hanging="270"/>
        <w:rPr>
          <w:rFonts w:ascii="Avenir Next" w:hAnsi="Avenir Next" w:cstheme="minorHAnsi"/>
          <w:sz w:val="22"/>
          <w:szCs w:val="22"/>
        </w:rPr>
      </w:pPr>
      <w:r w:rsidRPr="007A51DF">
        <w:rPr>
          <w:rFonts w:ascii="Avenir Next" w:hAnsi="Avenir Next" w:cstheme="minorHAnsi"/>
          <w:sz w:val="22"/>
          <w:szCs w:val="22"/>
        </w:rPr>
        <w:t>Any changes to the categor</w:t>
      </w:r>
      <w:r w:rsidR="00D22990" w:rsidRPr="007A51DF">
        <w:rPr>
          <w:rFonts w:ascii="Avenir Next" w:hAnsi="Avenir Next" w:cstheme="minorHAnsi"/>
          <w:sz w:val="22"/>
          <w:szCs w:val="22"/>
        </w:rPr>
        <w:t>y descriptions? (</w:t>
      </w:r>
      <w:proofErr w:type="gramStart"/>
      <w:r w:rsidR="00D22990" w:rsidRPr="007A51DF">
        <w:rPr>
          <w:rFonts w:ascii="Avenir Next" w:hAnsi="Avenir Next" w:cstheme="minorHAnsi"/>
          <w:sz w:val="22"/>
          <w:szCs w:val="22"/>
        </w:rPr>
        <w:t>i.e.</w:t>
      </w:r>
      <w:proofErr w:type="gramEnd"/>
      <w:r w:rsidR="00D22990" w:rsidRPr="007A51DF">
        <w:rPr>
          <w:rFonts w:ascii="Avenir Next" w:hAnsi="Avenir Next" w:cstheme="minorHAnsi"/>
          <w:sz w:val="22"/>
          <w:szCs w:val="22"/>
        </w:rPr>
        <w:t xml:space="preserve"> specific call out for MLS soccer)</w:t>
      </w:r>
    </w:p>
    <w:p w14:paraId="2892842D" w14:textId="51B9A839" w:rsidR="00350104" w:rsidRPr="007A51DF" w:rsidRDefault="00350104" w:rsidP="00AB5712">
      <w:pPr>
        <w:pStyle w:val="ListParagraph"/>
        <w:numPr>
          <w:ilvl w:val="0"/>
          <w:numId w:val="10"/>
        </w:numPr>
        <w:ind w:left="270" w:hanging="270"/>
        <w:rPr>
          <w:rFonts w:ascii="Avenir Next" w:hAnsi="Avenir Next" w:cstheme="minorHAnsi"/>
          <w:sz w:val="22"/>
          <w:szCs w:val="22"/>
        </w:rPr>
      </w:pPr>
      <w:r w:rsidRPr="007A51DF">
        <w:rPr>
          <w:rFonts w:ascii="Avenir Next" w:hAnsi="Avenir Next" w:cstheme="minorHAnsi"/>
          <w:sz w:val="22"/>
          <w:szCs w:val="22"/>
        </w:rPr>
        <w:t xml:space="preserve">Clarifications on impacts (attendees, room nights) (annual or over </w:t>
      </w:r>
      <w:proofErr w:type="gramStart"/>
      <w:r w:rsidRPr="007A51DF">
        <w:rPr>
          <w:rFonts w:ascii="Avenir Next" w:hAnsi="Avenir Next" w:cstheme="minorHAnsi"/>
          <w:sz w:val="22"/>
          <w:szCs w:val="22"/>
        </w:rPr>
        <w:t>a period of time</w:t>
      </w:r>
      <w:proofErr w:type="gramEnd"/>
      <w:r w:rsidRPr="007A51DF">
        <w:rPr>
          <w:rFonts w:ascii="Avenir Next" w:hAnsi="Avenir Next" w:cstheme="minorHAnsi"/>
          <w:sz w:val="22"/>
          <w:szCs w:val="22"/>
        </w:rPr>
        <w:t>)</w:t>
      </w:r>
    </w:p>
    <w:p w14:paraId="5A776653" w14:textId="4C08EDC6" w:rsidR="004E79D4" w:rsidRPr="007A51DF" w:rsidRDefault="004E79D4" w:rsidP="00AB5712">
      <w:pPr>
        <w:pStyle w:val="ListParagraph"/>
        <w:numPr>
          <w:ilvl w:val="0"/>
          <w:numId w:val="10"/>
        </w:numPr>
        <w:ind w:left="270" w:hanging="270"/>
        <w:rPr>
          <w:rFonts w:ascii="Avenir Next" w:hAnsi="Avenir Next" w:cstheme="minorHAnsi"/>
          <w:sz w:val="22"/>
          <w:szCs w:val="22"/>
        </w:rPr>
      </w:pPr>
      <w:r w:rsidRPr="007A51DF">
        <w:rPr>
          <w:rFonts w:ascii="Avenir Next" w:hAnsi="Avenir Next" w:cstheme="minorHAnsi"/>
          <w:sz w:val="22"/>
          <w:szCs w:val="22"/>
        </w:rPr>
        <w:t>Post Opening ROI/Impact</w:t>
      </w:r>
    </w:p>
    <w:p w14:paraId="60ACC681" w14:textId="0958646B" w:rsidR="00423B21" w:rsidRPr="007A51DF" w:rsidRDefault="00B969F6" w:rsidP="00AB5712">
      <w:pPr>
        <w:pStyle w:val="ListParagraph"/>
        <w:numPr>
          <w:ilvl w:val="0"/>
          <w:numId w:val="10"/>
        </w:numPr>
        <w:ind w:left="270" w:hanging="270"/>
        <w:rPr>
          <w:rFonts w:ascii="Avenir Next" w:hAnsi="Avenir Next" w:cstheme="minorHAnsi"/>
          <w:sz w:val="22"/>
          <w:szCs w:val="22"/>
        </w:rPr>
      </w:pPr>
      <w:r>
        <w:rPr>
          <w:rFonts w:ascii="Avenir Next" w:hAnsi="Avenir Next" w:cstheme="minorHAnsi"/>
          <w:sz w:val="22"/>
          <w:szCs w:val="22"/>
        </w:rPr>
        <w:t>Update on e</w:t>
      </w:r>
      <w:r w:rsidR="00423B21" w:rsidRPr="007A51DF">
        <w:rPr>
          <w:rFonts w:ascii="Avenir Next" w:hAnsi="Avenir Next" w:cstheme="minorHAnsi"/>
          <w:sz w:val="22"/>
          <w:szCs w:val="22"/>
        </w:rPr>
        <w:t xml:space="preserve">valuation </w:t>
      </w:r>
      <w:r w:rsidR="0070321B">
        <w:rPr>
          <w:rFonts w:ascii="Avenir Next" w:hAnsi="Avenir Next" w:cstheme="minorHAnsi"/>
          <w:sz w:val="22"/>
          <w:szCs w:val="22"/>
        </w:rPr>
        <w:t>f</w:t>
      </w:r>
      <w:r w:rsidR="00423B21" w:rsidRPr="007A51DF">
        <w:rPr>
          <w:rFonts w:ascii="Avenir Next" w:hAnsi="Avenir Next" w:cstheme="minorHAnsi"/>
          <w:sz w:val="22"/>
          <w:szCs w:val="22"/>
        </w:rPr>
        <w:t xml:space="preserve">irm </w:t>
      </w:r>
      <w:r>
        <w:rPr>
          <w:rFonts w:ascii="Avenir Next" w:hAnsi="Avenir Next" w:cstheme="minorHAnsi"/>
          <w:sz w:val="22"/>
          <w:szCs w:val="22"/>
        </w:rPr>
        <w:t>for</w:t>
      </w:r>
      <w:r w:rsidR="00423B21" w:rsidRPr="007A51DF">
        <w:rPr>
          <w:rFonts w:ascii="Avenir Next" w:hAnsi="Avenir Next" w:cstheme="minorHAnsi"/>
          <w:sz w:val="22"/>
          <w:szCs w:val="22"/>
        </w:rPr>
        <w:t xml:space="preserve"> project impacts</w:t>
      </w:r>
      <w:r w:rsidR="004E79D4" w:rsidRPr="007A51DF">
        <w:rPr>
          <w:rFonts w:ascii="Avenir Next" w:hAnsi="Avenir Next" w:cstheme="minorHAnsi"/>
          <w:sz w:val="22"/>
          <w:szCs w:val="22"/>
        </w:rPr>
        <w:t xml:space="preserve"> (RFP is currently out for bid)</w:t>
      </w:r>
    </w:p>
    <w:p w14:paraId="2A93BAD1" w14:textId="3DF09610" w:rsidR="00423B21" w:rsidRPr="007A51DF" w:rsidRDefault="00423B21" w:rsidP="00AB5712">
      <w:pPr>
        <w:pStyle w:val="ListParagraph"/>
        <w:numPr>
          <w:ilvl w:val="0"/>
          <w:numId w:val="10"/>
        </w:numPr>
        <w:ind w:left="270" w:hanging="270"/>
        <w:rPr>
          <w:rFonts w:ascii="Avenir Next" w:hAnsi="Avenir Next" w:cstheme="minorHAnsi"/>
          <w:sz w:val="22"/>
          <w:szCs w:val="22"/>
        </w:rPr>
      </w:pPr>
      <w:r w:rsidRPr="007A51DF">
        <w:rPr>
          <w:rFonts w:ascii="Avenir Next" w:hAnsi="Avenir Next" w:cstheme="minorHAnsi"/>
          <w:sz w:val="22"/>
          <w:szCs w:val="22"/>
        </w:rPr>
        <w:t xml:space="preserve">Potential </w:t>
      </w:r>
      <w:r w:rsidR="004E79D4" w:rsidRPr="007A51DF">
        <w:rPr>
          <w:rFonts w:ascii="Avenir Next" w:hAnsi="Avenir Next" w:cstheme="minorHAnsi"/>
          <w:sz w:val="22"/>
          <w:szCs w:val="22"/>
        </w:rPr>
        <w:t>d</w:t>
      </w:r>
      <w:r w:rsidRPr="007A51DF">
        <w:rPr>
          <w:rFonts w:ascii="Avenir Next" w:hAnsi="Avenir Next" w:cstheme="minorHAnsi"/>
          <w:sz w:val="22"/>
          <w:szCs w:val="22"/>
        </w:rPr>
        <w:t xml:space="preserve">ollars </w:t>
      </w:r>
      <w:r w:rsidR="004E79D4" w:rsidRPr="007A51DF">
        <w:rPr>
          <w:rFonts w:ascii="Avenir Next" w:hAnsi="Avenir Next" w:cstheme="minorHAnsi"/>
          <w:sz w:val="22"/>
          <w:szCs w:val="22"/>
        </w:rPr>
        <w:t>a</w:t>
      </w:r>
      <w:r w:rsidRPr="007A51DF">
        <w:rPr>
          <w:rFonts w:ascii="Avenir Next" w:hAnsi="Avenir Next" w:cstheme="minorHAnsi"/>
          <w:sz w:val="22"/>
          <w:szCs w:val="22"/>
        </w:rPr>
        <w:t>vailable</w:t>
      </w:r>
      <w:r w:rsidR="00AE6ACB" w:rsidRPr="007A51DF">
        <w:rPr>
          <w:rFonts w:ascii="Avenir Next" w:hAnsi="Avenir Next" w:cstheme="minorHAnsi"/>
          <w:sz w:val="22"/>
          <w:szCs w:val="22"/>
        </w:rPr>
        <w:t xml:space="preserve"> over the next two years</w:t>
      </w:r>
    </w:p>
    <w:p w14:paraId="6DA67F26" w14:textId="19EC9906" w:rsidR="00423B21" w:rsidRPr="007A51DF" w:rsidRDefault="00866B69" w:rsidP="00AB5712">
      <w:pPr>
        <w:pStyle w:val="ListParagraph"/>
        <w:numPr>
          <w:ilvl w:val="0"/>
          <w:numId w:val="10"/>
        </w:numPr>
        <w:ind w:left="270" w:hanging="270"/>
        <w:rPr>
          <w:rFonts w:ascii="Avenir Next" w:hAnsi="Avenir Next" w:cstheme="minorHAnsi"/>
          <w:sz w:val="22"/>
          <w:szCs w:val="22"/>
        </w:rPr>
      </w:pPr>
      <w:r w:rsidRPr="007A51DF">
        <w:rPr>
          <w:rFonts w:ascii="Avenir Next" w:hAnsi="Avenir Next" w:cstheme="minorHAnsi"/>
          <w:sz w:val="22"/>
          <w:szCs w:val="22"/>
        </w:rPr>
        <w:t>Pay as you go</w:t>
      </w:r>
      <w:r w:rsidR="00AB5712">
        <w:rPr>
          <w:rFonts w:ascii="Avenir Next" w:hAnsi="Avenir Next" w:cstheme="minorHAnsi"/>
          <w:sz w:val="22"/>
          <w:szCs w:val="22"/>
        </w:rPr>
        <w:t xml:space="preserve"> vs. </w:t>
      </w:r>
      <w:r w:rsidRPr="007A51DF">
        <w:rPr>
          <w:rFonts w:ascii="Avenir Next" w:hAnsi="Avenir Next" w:cstheme="minorHAnsi"/>
          <w:sz w:val="22"/>
          <w:szCs w:val="22"/>
        </w:rPr>
        <w:t>bond issuance</w:t>
      </w:r>
    </w:p>
    <w:p w14:paraId="3029E5FC" w14:textId="414E9EFA" w:rsidR="005D4D55" w:rsidRPr="007A51DF" w:rsidRDefault="00AE6ACB" w:rsidP="00AB5712">
      <w:pPr>
        <w:pStyle w:val="ListParagraph"/>
        <w:numPr>
          <w:ilvl w:val="0"/>
          <w:numId w:val="10"/>
        </w:numPr>
        <w:ind w:left="270" w:hanging="270"/>
        <w:rPr>
          <w:rFonts w:ascii="Avenir Next" w:hAnsi="Avenir Next" w:cstheme="minorHAnsi"/>
          <w:sz w:val="22"/>
          <w:szCs w:val="22"/>
        </w:rPr>
      </w:pPr>
      <w:r w:rsidRPr="007A51DF">
        <w:rPr>
          <w:rFonts w:ascii="Avenir Next" w:hAnsi="Avenir Next" w:cstheme="minorHAnsi"/>
          <w:sz w:val="22"/>
          <w:szCs w:val="22"/>
        </w:rPr>
        <w:t>Timing (</w:t>
      </w:r>
      <w:r w:rsidR="002F2915" w:rsidRPr="007A51DF">
        <w:rPr>
          <w:rFonts w:ascii="Avenir Next" w:hAnsi="Avenir Next" w:cstheme="minorHAnsi"/>
          <w:sz w:val="22"/>
          <w:szCs w:val="22"/>
        </w:rPr>
        <w:t xml:space="preserve">approval of guidelines, informational meeting, posting of guidelines/application, deadlines for </w:t>
      </w:r>
      <w:r w:rsidR="005D4D55" w:rsidRPr="007A51DF">
        <w:rPr>
          <w:rFonts w:ascii="Avenir Next" w:hAnsi="Avenir Next" w:cstheme="minorHAnsi"/>
          <w:sz w:val="22"/>
          <w:szCs w:val="22"/>
        </w:rPr>
        <w:t>submittal etc.</w:t>
      </w:r>
    </w:p>
    <w:p w14:paraId="5B25FB03" w14:textId="4BD7FA25" w:rsidR="00FA3E06" w:rsidRPr="007A51DF" w:rsidRDefault="00FA3E06">
      <w:pPr>
        <w:rPr>
          <w:rFonts w:ascii="Avenir Next" w:hAnsi="Avenir Next" w:cstheme="minorHAnsi"/>
        </w:rPr>
      </w:pPr>
      <w:r w:rsidRPr="007A51DF">
        <w:rPr>
          <w:rFonts w:ascii="Avenir Next" w:hAnsi="Avenir Next" w:cstheme="minorHAnsi"/>
        </w:rPr>
        <w:br w:type="page"/>
      </w:r>
    </w:p>
    <w:p w14:paraId="37A433D6" w14:textId="77777777" w:rsidR="006A692E" w:rsidRPr="007A51DF" w:rsidRDefault="006A692E" w:rsidP="002F2915">
      <w:pPr>
        <w:spacing w:after="0" w:line="240" w:lineRule="auto"/>
        <w:rPr>
          <w:rFonts w:ascii="Avenir Next" w:hAnsi="Avenir Next" w:cstheme="minorHAnsi"/>
        </w:rPr>
      </w:pPr>
    </w:p>
    <w:p w14:paraId="50A8F654" w14:textId="4EC0CA18" w:rsidR="002F2915" w:rsidRPr="007A51DF" w:rsidRDefault="002F2915" w:rsidP="0070321B">
      <w:pPr>
        <w:tabs>
          <w:tab w:val="right" w:pos="5760"/>
          <w:tab w:val="right" w:pos="7200"/>
        </w:tabs>
        <w:spacing w:after="0" w:line="240" w:lineRule="auto"/>
        <w:rPr>
          <w:rFonts w:ascii="Avenir Next" w:hAnsi="Avenir Next" w:cstheme="minorHAnsi"/>
          <w:b/>
          <w:bCs/>
          <w:u w:val="single"/>
        </w:rPr>
      </w:pPr>
      <w:r w:rsidRPr="007A51DF">
        <w:rPr>
          <w:rFonts w:ascii="Avenir Next" w:hAnsi="Avenir Next" w:cstheme="minorHAnsi"/>
          <w:b/>
          <w:bCs/>
          <w:u w:val="single"/>
        </w:rPr>
        <w:t xml:space="preserve">Past </w:t>
      </w:r>
      <w:r w:rsidR="00976E6A" w:rsidRPr="007A51DF">
        <w:rPr>
          <w:rFonts w:ascii="Avenir Next" w:hAnsi="Avenir Next" w:cstheme="minorHAnsi"/>
          <w:b/>
          <w:bCs/>
          <w:u w:val="single"/>
        </w:rPr>
        <w:t>Recipients</w:t>
      </w:r>
      <w:r w:rsidR="006B45C0" w:rsidRPr="007A51DF">
        <w:rPr>
          <w:rFonts w:ascii="Avenir Next" w:hAnsi="Avenir Next" w:cstheme="minorHAnsi"/>
          <w:b/>
          <w:bCs/>
          <w:u w:val="single"/>
        </w:rPr>
        <w:tab/>
        <w:t>Amount Awarded</w:t>
      </w:r>
    </w:p>
    <w:p w14:paraId="3F06B26D" w14:textId="766EC1C9" w:rsidR="00674724" w:rsidRPr="00A742B6" w:rsidRDefault="00674724" w:rsidP="0070321B">
      <w:pPr>
        <w:tabs>
          <w:tab w:val="right" w:pos="5760"/>
          <w:tab w:val="right" w:pos="7200"/>
        </w:tabs>
        <w:spacing w:after="0" w:line="240" w:lineRule="auto"/>
        <w:rPr>
          <w:rFonts w:ascii="Avenir Next" w:hAnsi="Avenir Next" w:cstheme="minorHAnsi"/>
        </w:rPr>
      </w:pPr>
      <w:r w:rsidRPr="00A742B6">
        <w:rPr>
          <w:rFonts w:ascii="Avenir Next" w:hAnsi="Avenir Next" w:cstheme="minorHAnsi"/>
        </w:rPr>
        <w:t xml:space="preserve">Dunedin Spring Training </w:t>
      </w:r>
      <w:r w:rsidR="00423B21" w:rsidRPr="00A742B6">
        <w:rPr>
          <w:rFonts w:ascii="Avenir Next" w:hAnsi="Avenir Next" w:cstheme="minorHAnsi"/>
        </w:rPr>
        <w:t>Facilities</w:t>
      </w:r>
      <w:r w:rsidR="0097104A" w:rsidRPr="00A742B6">
        <w:rPr>
          <w:rFonts w:ascii="Avenir Next" w:hAnsi="Avenir Next" w:cstheme="minorHAnsi"/>
        </w:rPr>
        <w:tab/>
      </w:r>
      <w:r w:rsidR="00A742B6" w:rsidRPr="00A742B6">
        <w:rPr>
          <w:rFonts w:ascii="Calibri" w:eastAsia="Times New Roman" w:hAnsi="Calibri" w:cs="Calibri"/>
          <w:color w:val="000000"/>
        </w:rPr>
        <w:t xml:space="preserve"> </w:t>
      </w:r>
      <w:r w:rsidR="00A742B6" w:rsidRPr="00A742B6">
        <w:rPr>
          <w:rFonts w:ascii="Avenir Next" w:hAnsi="Avenir Next" w:cstheme="minorHAnsi"/>
        </w:rPr>
        <w:t>$41,753,160</w:t>
      </w:r>
    </w:p>
    <w:p w14:paraId="4300C628" w14:textId="62B8F7BE" w:rsidR="00674724" w:rsidRPr="00A742B6" w:rsidRDefault="00674724" w:rsidP="0070321B">
      <w:pPr>
        <w:tabs>
          <w:tab w:val="right" w:pos="5760"/>
          <w:tab w:val="right" w:pos="7200"/>
        </w:tabs>
        <w:spacing w:after="0" w:line="240" w:lineRule="auto"/>
        <w:rPr>
          <w:rFonts w:ascii="Avenir Next" w:hAnsi="Avenir Next" w:cstheme="minorHAnsi"/>
        </w:rPr>
      </w:pPr>
      <w:r w:rsidRPr="00A742B6">
        <w:rPr>
          <w:rFonts w:ascii="Avenir Next" w:hAnsi="Avenir Next" w:cstheme="minorHAnsi"/>
        </w:rPr>
        <w:t>Eddie C. Moore Softball Complex</w:t>
      </w:r>
      <w:r w:rsidR="0097104A" w:rsidRPr="00A742B6">
        <w:rPr>
          <w:rFonts w:ascii="Avenir Next" w:hAnsi="Avenir Next" w:cstheme="minorHAnsi"/>
        </w:rPr>
        <w:tab/>
        <w:t xml:space="preserve">$495,000 </w:t>
      </w:r>
    </w:p>
    <w:p w14:paraId="0FBEBCB5" w14:textId="0B6A34DD" w:rsidR="00674724" w:rsidRPr="00A742B6" w:rsidRDefault="00674724" w:rsidP="0070321B">
      <w:pPr>
        <w:tabs>
          <w:tab w:val="right" w:pos="5760"/>
          <w:tab w:val="right" w:pos="7200"/>
        </w:tabs>
        <w:spacing w:after="0" w:line="240" w:lineRule="auto"/>
        <w:rPr>
          <w:rFonts w:ascii="Avenir Next" w:hAnsi="Avenir Next" w:cstheme="minorHAnsi"/>
        </w:rPr>
      </w:pPr>
      <w:r w:rsidRPr="00A742B6">
        <w:rPr>
          <w:rFonts w:ascii="Avenir Next" w:hAnsi="Avenir Next" w:cstheme="minorHAnsi"/>
        </w:rPr>
        <w:t>Countryside Sports Complex</w:t>
      </w:r>
      <w:r w:rsidR="0097104A" w:rsidRPr="00A742B6">
        <w:rPr>
          <w:rFonts w:ascii="Avenir Next" w:hAnsi="Avenir Next" w:cstheme="minorHAnsi"/>
        </w:rPr>
        <w:tab/>
        <w:t xml:space="preserve">$1,900,000 </w:t>
      </w:r>
    </w:p>
    <w:p w14:paraId="235A2CDE" w14:textId="4CBEDC90" w:rsidR="00674724" w:rsidRPr="00A742B6" w:rsidRDefault="00674724" w:rsidP="0070321B">
      <w:pPr>
        <w:tabs>
          <w:tab w:val="right" w:pos="5760"/>
          <w:tab w:val="right" w:pos="7200"/>
        </w:tabs>
        <w:spacing w:after="0" w:line="240" w:lineRule="auto"/>
        <w:rPr>
          <w:rFonts w:ascii="Avenir Next" w:hAnsi="Avenir Next" w:cstheme="minorHAnsi"/>
        </w:rPr>
      </w:pPr>
      <w:r w:rsidRPr="00A742B6">
        <w:rPr>
          <w:rFonts w:ascii="Avenir Next" w:hAnsi="Avenir Next" w:cstheme="minorHAnsi"/>
        </w:rPr>
        <w:t>Ruth Eckerd Hall</w:t>
      </w:r>
      <w:r w:rsidR="0097104A" w:rsidRPr="00A742B6">
        <w:rPr>
          <w:rFonts w:ascii="Avenir Next" w:hAnsi="Avenir Next" w:cstheme="minorHAnsi"/>
        </w:rPr>
        <w:tab/>
        <w:t xml:space="preserve">$5,500,000 </w:t>
      </w:r>
    </w:p>
    <w:p w14:paraId="55781491" w14:textId="51204FE3" w:rsidR="00674724" w:rsidRPr="00A742B6" w:rsidRDefault="00674724" w:rsidP="0070321B">
      <w:pPr>
        <w:tabs>
          <w:tab w:val="right" w:pos="5760"/>
          <w:tab w:val="right" w:pos="7200"/>
        </w:tabs>
        <w:spacing w:after="0" w:line="240" w:lineRule="auto"/>
        <w:rPr>
          <w:rFonts w:ascii="Avenir Next" w:hAnsi="Avenir Next" w:cstheme="minorHAnsi"/>
        </w:rPr>
      </w:pPr>
      <w:r w:rsidRPr="00A742B6">
        <w:rPr>
          <w:rFonts w:ascii="Avenir Next" w:hAnsi="Avenir Next" w:cstheme="minorHAnsi"/>
        </w:rPr>
        <w:t>American Craftsman Museum</w:t>
      </w:r>
      <w:r w:rsidR="0097104A" w:rsidRPr="00A742B6">
        <w:rPr>
          <w:rFonts w:ascii="Avenir Next" w:hAnsi="Avenir Next" w:cstheme="minorHAnsi"/>
        </w:rPr>
        <w:tab/>
        <w:t xml:space="preserve">$6,000,000 </w:t>
      </w:r>
    </w:p>
    <w:p w14:paraId="7AB9E94C" w14:textId="5FA58D8E" w:rsidR="00674724" w:rsidRPr="00A742B6" w:rsidRDefault="00674724" w:rsidP="0070321B">
      <w:pPr>
        <w:tabs>
          <w:tab w:val="right" w:pos="5760"/>
          <w:tab w:val="right" w:pos="7200"/>
        </w:tabs>
        <w:spacing w:after="0" w:line="240" w:lineRule="auto"/>
        <w:rPr>
          <w:rFonts w:ascii="Avenir Next" w:hAnsi="Avenir Next" w:cstheme="minorHAnsi"/>
        </w:rPr>
      </w:pPr>
      <w:r w:rsidRPr="00A742B6">
        <w:rPr>
          <w:rFonts w:ascii="Avenir Next" w:hAnsi="Avenir Next" w:cstheme="minorHAnsi"/>
        </w:rPr>
        <w:t>Clearwater Marine Aquarium</w:t>
      </w:r>
      <w:r w:rsidR="0097104A" w:rsidRPr="00A742B6">
        <w:rPr>
          <w:rFonts w:ascii="Avenir Next" w:hAnsi="Avenir Next" w:cstheme="minorHAnsi"/>
        </w:rPr>
        <w:tab/>
        <w:t xml:space="preserve">$26,000,000 </w:t>
      </w:r>
    </w:p>
    <w:p w14:paraId="4937F4A8" w14:textId="22A92F0C" w:rsidR="00674724" w:rsidRPr="00A742B6" w:rsidRDefault="00674724" w:rsidP="0070321B">
      <w:pPr>
        <w:tabs>
          <w:tab w:val="right" w:pos="5760"/>
          <w:tab w:val="right" w:pos="7200"/>
        </w:tabs>
        <w:spacing w:after="0" w:line="240" w:lineRule="auto"/>
        <w:rPr>
          <w:rFonts w:ascii="Avenir Next" w:hAnsi="Avenir Next" w:cstheme="minorHAnsi"/>
        </w:rPr>
      </w:pPr>
      <w:r w:rsidRPr="00A742B6">
        <w:rPr>
          <w:rFonts w:ascii="Avenir Next" w:hAnsi="Avenir Next" w:cstheme="minorHAnsi"/>
        </w:rPr>
        <w:t>Tampa Bay Watch</w:t>
      </w:r>
      <w:r w:rsidR="0097104A" w:rsidRPr="00A742B6">
        <w:rPr>
          <w:rFonts w:ascii="Avenir Next" w:hAnsi="Avenir Next" w:cstheme="minorHAnsi"/>
        </w:rPr>
        <w:tab/>
        <w:t xml:space="preserve">$300,000 </w:t>
      </w:r>
    </w:p>
    <w:p w14:paraId="02B1A82D" w14:textId="31655CC7" w:rsidR="00674724" w:rsidRPr="00A742B6" w:rsidRDefault="00674724" w:rsidP="0070321B">
      <w:pPr>
        <w:tabs>
          <w:tab w:val="right" w:pos="5760"/>
          <w:tab w:val="right" w:pos="7200"/>
        </w:tabs>
        <w:spacing w:after="0" w:line="240" w:lineRule="auto"/>
        <w:rPr>
          <w:rFonts w:ascii="Avenir Next" w:hAnsi="Avenir Next" w:cstheme="minorHAnsi"/>
        </w:rPr>
      </w:pPr>
      <w:r w:rsidRPr="00A742B6">
        <w:rPr>
          <w:rFonts w:ascii="Avenir Next" w:hAnsi="Avenir Next" w:cstheme="minorHAnsi"/>
        </w:rPr>
        <w:t>Holocaust Museum</w:t>
      </w:r>
      <w:r w:rsidR="00FA3E06" w:rsidRPr="00A742B6">
        <w:rPr>
          <w:rFonts w:ascii="Avenir Next" w:hAnsi="Avenir Next" w:cstheme="minorHAnsi"/>
        </w:rPr>
        <w:t>*</w:t>
      </w:r>
      <w:r w:rsidR="00026207" w:rsidRPr="00A742B6">
        <w:rPr>
          <w:rFonts w:ascii="Avenir Next" w:hAnsi="Avenir Next" w:cstheme="minorHAnsi"/>
        </w:rPr>
        <w:tab/>
        <w:t>$350,000</w:t>
      </w:r>
    </w:p>
    <w:p w14:paraId="0BF811CB" w14:textId="3BBCB581" w:rsidR="00026207" w:rsidRPr="00A742B6" w:rsidRDefault="00026207" w:rsidP="0070321B">
      <w:pPr>
        <w:tabs>
          <w:tab w:val="right" w:pos="5760"/>
          <w:tab w:val="right" w:pos="7200"/>
        </w:tabs>
        <w:spacing w:after="0" w:line="240" w:lineRule="auto"/>
        <w:rPr>
          <w:rFonts w:ascii="Avenir Next" w:hAnsi="Avenir Next" w:cstheme="minorHAnsi"/>
        </w:rPr>
      </w:pPr>
      <w:r w:rsidRPr="00A742B6">
        <w:rPr>
          <w:rFonts w:ascii="Avenir Next" w:hAnsi="Avenir Next" w:cstheme="minorHAnsi"/>
        </w:rPr>
        <w:t>St. Pete Museum of History</w:t>
      </w:r>
      <w:r w:rsidR="002F2915" w:rsidRPr="00A742B6">
        <w:rPr>
          <w:rFonts w:ascii="Avenir Next" w:hAnsi="Avenir Next" w:cstheme="minorHAnsi"/>
        </w:rPr>
        <w:t xml:space="preserve"> *</w:t>
      </w:r>
      <w:r w:rsidR="00FA3E06" w:rsidRPr="00A742B6">
        <w:rPr>
          <w:rFonts w:ascii="Avenir Next" w:hAnsi="Avenir Next" w:cstheme="minorHAnsi"/>
        </w:rPr>
        <w:t>*</w:t>
      </w:r>
      <w:r w:rsidRPr="00A742B6">
        <w:rPr>
          <w:rFonts w:ascii="Avenir Next" w:hAnsi="Avenir Next" w:cstheme="minorHAnsi"/>
        </w:rPr>
        <w:tab/>
        <w:t>$2,800,000</w:t>
      </w:r>
    </w:p>
    <w:p w14:paraId="32374CB4" w14:textId="518BFCF7" w:rsidR="009F4E40" w:rsidRPr="007A51DF" w:rsidRDefault="00674724" w:rsidP="0070321B">
      <w:pPr>
        <w:tabs>
          <w:tab w:val="right" w:pos="5760"/>
          <w:tab w:val="right" w:pos="7200"/>
        </w:tabs>
        <w:spacing w:after="0" w:line="240" w:lineRule="auto"/>
        <w:rPr>
          <w:rFonts w:ascii="Avenir Next" w:hAnsi="Avenir Next" w:cstheme="minorHAnsi"/>
        </w:rPr>
      </w:pPr>
      <w:r w:rsidRPr="00A742B6">
        <w:rPr>
          <w:rFonts w:ascii="Avenir Next" w:hAnsi="Avenir Next" w:cstheme="minorHAnsi"/>
        </w:rPr>
        <w:t>Salvador Dali Museum</w:t>
      </w:r>
      <w:r w:rsidR="002F2915" w:rsidRPr="00A742B6">
        <w:rPr>
          <w:rFonts w:ascii="Avenir Next" w:hAnsi="Avenir Next" w:cstheme="minorHAnsi"/>
        </w:rPr>
        <w:t xml:space="preserve"> *</w:t>
      </w:r>
      <w:r w:rsidR="00FA3E06" w:rsidRPr="00A742B6">
        <w:rPr>
          <w:rFonts w:ascii="Avenir Next" w:hAnsi="Avenir Next" w:cstheme="minorHAnsi"/>
        </w:rPr>
        <w:t>*</w:t>
      </w:r>
      <w:r w:rsidR="0097104A" w:rsidRPr="00A742B6">
        <w:rPr>
          <w:rFonts w:ascii="Avenir Next" w:hAnsi="Avenir Next" w:cstheme="minorHAnsi"/>
        </w:rPr>
        <w:tab/>
        <w:t>$17,500,000</w:t>
      </w:r>
    </w:p>
    <w:p w14:paraId="4A84A7F8" w14:textId="77777777" w:rsidR="009F4E40" w:rsidRPr="007A51DF" w:rsidRDefault="009F4E40" w:rsidP="009F4E40">
      <w:pPr>
        <w:tabs>
          <w:tab w:val="right" w:pos="5040"/>
        </w:tabs>
        <w:spacing w:after="0" w:line="240" w:lineRule="auto"/>
        <w:rPr>
          <w:rFonts w:ascii="Avenir Next" w:hAnsi="Avenir Next" w:cstheme="minorHAnsi"/>
        </w:rPr>
      </w:pPr>
    </w:p>
    <w:p w14:paraId="55E142EF" w14:textId="49460571" w:rsidR="00496763" w:rsidRPr="007A51DF" w:rsidRDefault="001D1BF2" w:rsidP="0097104A">
      <w:pPr>
        <w:tabs>
          <w:tab w:val="right" w:pos="5040"/>
        </w:tabs>
        <w:spacing w:after="0" w:line="240" w:lineRule="auto"/>
        <w:rPr>
          <w:rFonts w:ascii="Avenir Next" w:hAnsi="Avenir Next" w:cstheme="minorHAnsi"/>
          <w:i/>
          <w:iCs/>
        </w:rPr>
      </w:pPr>
      <w:r w:rsidRPr="007A51DF">
        <w:rPr>
          <w:rFonts w:ascii="Avenir Next" w:hAnsi="Avenir Next" w:cstheme="minorHAnsi"/>
          <w:i/>
          <w:iCs/>
        </w:rPr>
        <w:t xml:space="preserve">*Committed but </w:t>
      </w:r>
      <w:r w:rsidR="00FA3E06" w:rsidRPr="007A51DF">
        <w:rPr>
          <w:rFonts w:ascii="Avenir Next" w:hAnsi="Avenir Next" w:cstheme="minorHAnsi"/>
          <w:i/>
          <w:iCs/>
        </w:rPr>
        <w:t>waiting on work</w:t>
      </w:r>
    </w:p>
    <w:p w14:paraId="1E4BA415" w14:textId="784FB782" w:rsidR="00FA3E06" w:rsidRPr="007A51DF" w:rsidRDefault="00FA3E06" w:rsidP="0097104A">
      <w:pPr>
        <w:tabs>
          <w:tab w:val="right" w:pos="5040"/>
        </w:tabs>
        <w:spacing w:after="0" w:line="240" w:lineRule="auto"/>
        <w:rPr>
          <w:rFonts w:ascii="Avenir Next" w:hAnsi="Avenir Next" w:cstheme="minorHAnsi"/>
          <w:i/>
          <w:iCs/>
        </w:rPr>
      </w:pPr>
      <w:r w:rsidRPr="007A51DF">
        <w:rPr>
          <w:rFonts w:ascii="Avenir Next" w:hAnsi="Avenir Next" w:cstheme="minorHAnsi"/>
          <w:i/>
          <w:iCs/>
        </w:rPr>
        <w:t>**Committed but working on agreement (reimbursement</w:t>
      </w:r>
      <w:r w:rsidR="00D22990" w:rsidRPr="007A51DF">
        <w:rPr>
          <w:rFonts w:ascii="Avenir Next" w:hAnsi="Avenir Next" w:cstheme="minorHAnsi"/>
          <w:i/>
          <w:iCs/>
        </w:rPr>
        <w:t xml:space="preserve"> issue)</w:t>
      </w:r>
    </w:p>
    <w:sectPr w:rsidR="00FA3E06" w:rsidRPr="007A51DF" w:rsidSect="00345360">
      <w:headerReference w:type="default" r:id="rId7"/>
      <w:footerReference w:type="default" r:id="rId8"/>
      <w:pgSz w:w="12240" w:h="15840"/>
      <w:pgMar w:top="1761" w:right="1170" w:bottom="1440" w:left="1440" w:header="48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7EEA5" w14:textId="77777777" w:rsidR="00500695" w:rsidRDefault="00500695" w:rsidP="00496763">
      <w:pPr>
        <w:spacing w:after="0" w:line="240" w:lineRule="auto"/>
      </w:pPr>
      <w:r>
        <w:separator/>
      </w:r>
    </w:p>
  </w:endnote>
  <w:endnote w:type="continuationSeparator" w:id="0">
    <w:p w14:paraId="28063BD1" w14:textId="77777777" w:rsidR="00500695" w:rsidRDefault="00500695" w:rsidP="0049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8FB58" w14:textId="77777777" w:rsidR="00496763" w:rsidRDefault="00496763">
    <w:pPr>
      <w:pStyle w:val="Footer"/>
    </w:pPr>
  </w:p>
  <w:p w14:paraId="43BF47A5" w14:textId="77777777" w:rsidR="00496763" w:rsidRDefault="00496763">
    <w:pPr>
      <w:pStyle w:val="Footer"/>
    </w:pPr>
    <w:r w:rsidRPr="00496763">
      <w:rPr>
        <w:noProof/>
      </w:rPr>
      <w:drawing>
        <wp:inline distT="0" distB="0" distL="0" distR="0" wp14:anchorId="2DEB0FDC" wp14:editId="2DCC36D3">
          <wp:extent cx="5978969" cy="4937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8969" cy="49377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1A44A" w14:textId="77777777" w:rsidR="00500695" w:rsidRDefault="00500695" w:rsidP="00496763">
      <w:pPr>
        <w:spacing w:after="0" w:line="240" w:lineRule="auto"/>
      </w:pPr>
      <w:r>
        <w:separator/>
      </w:r>
    </w:p>
  </w:footnote>
  <w:footnote w:type="continuationSeparator" w:id="0">
    <w:p w14:paraId="2B7646E6" w14:textId="77777777" w:rsidR="00500695" w:rsidRDefault="00500695" w:rsidP="00496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E6C2" w14:textId="77777777" w:rsidR="00DF0CB8" w:rsidRDefault="00DF0CB8">
    <w:pPr>
      <w:pStyle w:val="Header"/>
    </w:pPr>
    <w:r w:rsidRPr="00F55B09">
      <w:rPr>
        <w:noProof/>
      </w:rPr>
      <w:drawing>
        <wp:inline distT="0" distB="0" distL="0" distR="0" wp14:anchorId="20EE17CB" wp14:editId="69138BE7">
          <wp:extent cx="2276475" cy="666343"/>
          <wp:effectExtent l="0" t="0" r="0" b="635"/>
          <wp:docPr id="3" name="Picture 3" descr="H:\Users\EMcCann\ST PETE CLEARWATER LOGO ALT-2LL-3D-yellow-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EMcCann\ST PETE CLEARWATER LOGO ALT-2LL-3D-yellow-gra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2730" cy="697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40C7"/>
    <w:multiLevelType w:val="hybridMultilevel"/>
    <w:tmpl w:val="F2B4A9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A6111"/>
    <w:multiLevelType w:val="hybridMultilevel"/>
    <w:tmpl w:val="38A22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B49EF"/>
    <w:multiLevelType w:val="hybridMultilevel"/>
    <w:tmpl w:val="1D1E89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4C5D1E"/>
    <w:multiLevelType w:val="multilevel"/>
    <w:tmpl w:val="1A5A5F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4A81B95"/>
    <w:multiLevelType w:val="hybridMultilevel"/>
    <w:tmpl w:val="A404DA56"/>
    <w:lvl w:ilvl="0" w:tplc="856CF3FC">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07108A"/>
    <w:multiLevelType w:val="hybridMultilevel"/>
    <w:tmpl w:val="76F2AF06"/>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CE1094A"/>
    <w:multiLevelType w:val="hybridMultilevel"/>
    <w:tmpl w:val="F32A40E6"/>
    <w:lvl w:ilvl="0" w:tplc="7A46410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C05AFE"/>
    <w:multiLevelType w:val="hybridMultilevel"/>
    <w:tmpl w:val="DDD8675C"/>
    <w:lvl w:ilvl="0" w:tplc="EAE285E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91A08"/>
    <w:multiLevelType w:val="hybridMultilevel"/>
    <w:tmpl w:val="0016C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7A2FEF"/>
    <w:multiLevelType w:val="hybridMultilevel"/>
    <w:tmpl w:val="7A80256C"/>
    <w:lvl w:ilvl="0" w:tplc="A82077F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4"/>
  </w:num>
  <w:num w:numId="6">
    <w:abstractNumId w:val="9"/>
  </w:num>
  <w:num w:numId="7">
    <w:abstractNumId w:val="7"/>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695"/>
    <w:rsid w:val="00026207"/>
    <w:rsid w:val="00036BB3"/>
    <w:rsid w:val="00074857"/>
    <w:rsid w:val="00092BA9"/>
    <w:rsid w:val="000B4053"/>
    <w:rsid w:val="000F39BE"/>
    <w:rsid w:val="001941A3"/>
    <w:rsid w:val="001D1BF2"/>
    <w:rsid w:val="001D72D9"/>
    <w:rsid w:val="002C34CE"/>
    <w:rsid w:val="002C625D"/>
    <w:rsid w:val="002F2915"/>
    <w:rsid w:val="00345360"/>
    <w:rsid w:val="00350104"/>
    <w:rsid w:val="00357453"/>
    <w:rsid w:val="00396113"/>
    <w:rsid w:val="003A0AC9"/>
    <w:rsid w:val="003B3999"/>
    <w:rsid w:val="00410199"/>
    <w:rsid w:val="00414838"/>
    <w:rsid w:val="00423B21"/>
    <w:rsid w:val="00496763"/>
    <w:rsid w:val="004D722E"/>
    <w:rsid w:val="004E79D4"/>
    <w:rsid w:val="00500695"/>
    <w:rsid w:val="005D4D55"/>
    <w:rsid w:val="0063635B"/>
    <w:rsid w:val="00674724"/>
    <w:rsid w:val="00695F5B"/>
    <w:rsid w:val="006A692E"/>
    <w:rsid w:val="006B45C0"/>
    <w:rsid w:val="006B53FB"/>
    <w:rsid w:val="0070321B"/>
    <w:rsid w:val="00707373"/>
    <w:rsid w:val="007312A9"/>
    <w:rsid w:val="00744E49"/>
    <w:rsid w:val="00797A44"/>
    <w:rsid w:val="007A51DF"/>
    <w:rsid w:val="007D7449"/>
    <w:rsid w:val="0080285D"/>
    <w:rsid w:val="008443D8"/>
    <w:rsid w:val="00866B69"/>
    <w:rsid w:val="0097104A"/>
    <w:rsid w:val="00976E6A"/>
    <w:rsid w:val="009C0C83"/>
    <w:rsid w:val="009E17B5"/>
    <w:rsid w:val="009F4E40"/>
    <w:rsid w:val="00A0132B"/>
    <w:rsid w:val="00A739AE"/>
    <w:rsid w:val="00A742B6"/>
    <w:rsid w:val="00A926ED"/>
    <w:rsid w:val="00AB5712"/>
    <w:rsid w:val="00AC2955"/>
    <w:rsid w:val="00AE6ACB"/>
    <w:rsid w:val="00B10B0C"/>
    <w:rsid w:val="00B1482B"/>
    <w:rsid w:val="00B4135E"/>
    <w:rsid w:val="00B46A04"/>
    <w:rsid w:val="00B806EB"/>
    <w:rsid w:val="00B969F6"/>
    <w:rsid w:val="00BA3525"/>
    <w:rsid w:val="00C24A18"/>
    <w:rsid w:val="00C34655"/>
    <w:rsid w:val="00C41430"/>
    <w:rsid w:val="00C7423B"/>
    <w:rsid w:val="00D01ABF"/>
    <w:rsid w:val="00D22990"/>
    <w:rsid w:val="00D34891"/>
    <w:rsid w:val="00D87BF4"/>
    <w:rsid w:val="00DF0CB8"/>
    <w:rsid w:val="00F55B09"/>
    <w:rsid w:val="00FA3E06"/>
    <w:rsid w:val="00FF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9152"/>
  <w15:chartTrackingRefBased/>
  <w15:docId w15:val="{ACBC054B-C272-5446-8919-47766120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C83"/>
    <w:rPr>
      <w:rFonts w:ascii="Segoe UI" w:hAnsi="Segoe UI" w:cs="Segoe UI"/>
      <w:sz w:val="18"/>
      <w:szCs w:val="18"/>
    </w:rPr>
  </w:style>
  <w:style w:type="paragraph" w:styleId="NoSpacing">
    <w:name w:val="No Spacing"/>
    <w:uiPriority w:val="1"/>
    <w:qFormat/>
    <w:rsid w:val="0080285D"/>
    <w:pPr>
      <w:spacing w:after="0" w:line="240" w:lineRule="auto"/>
    </w:pPr>
  </w:style>
  <w:style w:type="paragraph" w:styleId="Header">
    <w:name w:val="header"/>
    <w:basedOn w:val="Normal"/>
    <w:link w:val="HeaderChar"/>
    <w:uiPriority w:val="99"/>
    <w:unhideWhenUsed/>
    <w:rsid w:val="00496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763"/>
  </w:style>
  <w:style w:type="paragraph" w:styleId="Footer">
    <w:name w:val="footer"/>
    <w:basedOn w:val="Normal"/>
    <w:link w:val="FooterChar"/>
    <w:uiPriority w:val="99"/>
    <w:unhideWhenUsed/>
    <w:rsid w:val="00496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763"/>
  </w:style>
  <w:style w:type="paragraph" w:styleId="ListParagraph">
    <w:name w:val="List Paragraph"/>
    <w:basedOn w:val="Normal"/>
    <w:uiPriority w:val="34"/>
    <w:qFormat/>
    <w:rsid w:val="000F39BE"/>
    <w:pPr>
      <w:spacing w:after="0" w:line="240" w:lineRule="auto"/>
      <w:ind w:left="720"/>
      <w:contextualSpacing/>
    </w:pPr>
    <w:rPr>
      <w:sz w:val="24"/>
      <w:szCs w:val="24"/>
    </w:rPr>
  </w:style>
  <w:style w:type="paragraph" w:styleId="NormalWeb">
    <w:name w:val="Normal (Web)"/>
    <w:basedOn w:val="Normal"/>
    <w:uiPriority w:val="99"/>
    <w:unhideWhenUsed/>
    <w:rsid w:val="00092BA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A0AC9"/>
    <w:rPr>
      <w:sz w:val="16"/>
      <w:szCs w:val="16"/>
    </w:rPr>
  </w:style>
  <w:style w:type="paragraph" w:styleId="CommentText">
    <w:name w:val="annotation text"/>
    <w:basedOn w:val="Normal"/>
    <w:link w:val="CommentTextChar"/>
    <w:uiPriority w:val="99"/>
    <w:semiHidden/>
    <w:unhideWhenUsed/>
    <w:rsid w:val="003A0AC9"/>
    <w:pPr>
      <w:spacing w:line="240" w:lineRule="auto"/>
    </w:pPr>
    <w:rPr>
      <w:sz w:val="20"/>
      <w:szCs w:val="20"/>
    </w:rPr>
  </w:style>
  <w:style w:type="character" w:customStyle="1" w:styleId="CommentTextChar">
    <w:name w:val="Comment Text Char"/>
    <w:basedOn w:val="DefaultParagraphFont"/>
    <w:link w:val="CommentText"/>
    <w:uiPriority w:val="99"/>
    <w:semiHidden/>
    <w:rsid w:val="003A0AC9"/>
    <w:rPr>
      <w:sz w:val="20"/>
      <w:szCs w:val="20"/>
    </w:rPr>
  </w:style>
  <w:style w:type="paragraph" w:styleId="CommentSubject">
    <w:name w:val="annotation subject"/>
    <w:basedOn w:val="CommentText"/>
    <w:next w:val="CommentText"/>
    <w:link w:val="CommentSubjectChar"/>
    <w:uiPriority w:val="99"/>
    <w:semiHidden/>
    <w:unhideWhenUsed/>
    <w:rsid w:val="003A0AC9"/>
    <w:rPr>
      <w:b/>
      <w:bCs/>
    </w:rPr>
  </w:style>
  <w:style w:type="character" w:customStyle="1" w:styleId="CommentSubjectChar">
    <w:name w:val="Comment Subject Char"/>
    <w:basedOn w:val="CommentTextChar"/>
    <w:link w:val="CommentSubject"/>
    <w:uiPriority w:val="99"/>
    <w:semiHidden/>
    <w:rsid w:val="003A0A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49428">
      <w:bodyDiv w:val="1"/>
      <w:marLeft w:val="0"/>
      <w:marRight w:val="0"/>
      <w:marTop w:val="0"/>
      <w:marBottom w:val="0"/>
      <w:divBdr>
        <w:top w:val="none" w:sz="0" w:space="0" w:color="auto"/>
        <w:left w:val="none" w:sz="0" w:space="0" w:color="auto"/>
        <w:bottom w:val="none" w:sz="0" w:space="0" w:color="auto"/>
        <w:right w:val="none" w:sz="0" w:space="0" w:color="auto"/>
      </w:divBdr>
    </w:div>
    <w:div w:id="651568742">
      <w:bodyDiv w:val="1"/>
      <w:marLeft w:val="0"/>
      <w:marRight w:val="0"/>
      <w:marTop w:val="0"/>
      <w:marBottom w:val="0"/>
      <w:divBdr>
        <w:top w:val="none" w:sz="0" w:space="0" w:color="auto"/>
        <w:left w:val="none" w:sz="0" w:space="0" w:color="auto"/>
        <w:bottom w:val="none" w:sz="0" w:space="0" w:color="auto"/>
        <w:right w:val="none" w:sz="0" w:space="0" w:color="auto"/>
      </w:divBdr>
      <w:divsChild>
        <w:div w:id="702752391">
          <w:marLeft w:val="0"/>
          <w:marRight w:val="0"/>
          <w:marTop w:val="0"/>
          <w:marBottom w:val="0"/>
          <w:divBdr>
            <w:top w:val="none" w:sz="0" w:space="0" w:color="auto"/>
            <w:left w:val="none" w:sz="0" w:space="0" w:color="auto"/>
            <w:bottom w:val="none" w:sz="0" w:space="0" w:color="auto"/>
            <w:right w:val="none" w:sz="0" w:space="0" w:color="auto"/>
          </w:divBdr>
          <w:divsChild>
            <w:div w:id="108399938">
              <w:marLeft w:val="0"/>
              <w:marRight w:val="0"/>
              <w:marTop w:val="0"/>
              <w:marBottom w:val="0"/>
              <w:divBdr>
                <w:top w:val="none" w:sz="0" w:space="0" w:color="auto"/>
                <w:left w:val="none" w:sz="0" w:space="0" w:color="auto"/>
                <w:bottom w:val="none" w:sz="0" w:space="0" w:color="auto"/>
                <w:right w:val="none" w:sz="0" w:space="0" w:color="auto"/>
              </w:divBdr>
              <w:divsChild>
                <w:div w:id="42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4900">
          <w:marLeft w:val="0"/>
          <w:marRight w:val="0"/>
          <w:marTop w:val="0"/>
          <w:marBottom w:val="0"/>
          <w:divBdr>
            <w:top w:val="none" w:sz="0" w:space="0" w:color="auto"/>
            <w:left w:val="none" w:sz="0" w:space="0" w:color="auto"/>
            <w:bottom w:val="none" w:sz="0" w:space="0" w:color="auto"/>
            <w:right w:val="none" w:sz="0" w:space="0" w:color="auto"/>
          </w:divBdr>
          <w:divsChild>
            <w:div w:id="198008144">
              <w:marLeft w:val="0"/>
              <w:marRight w:val="0"/>
              <w:marTop w:val="0"/>
              <w:marBottom w:val="0"/>
              <w:divBdr>
                <w:top w:val="none" w:sz="0" w:space="0" w:color="auto"/>
                <w:left w:val="none" w:sz="0" w:space="0" w:color="auto"/>
                <w:bottom w:val="none" w:sz="0" w:space="0" w:color="auto"/>
                <w:right w:val="none" w:sz="0" w:space="0" w:color="auto"/>
              </w:divBdr>
              <w:divsChild>
                <w:div w:id="322856123">
                  <w:marLeft w:val="0"/>
                  <w:marRight w:val="0"/>
                  <w:marTop w:val="0"/>
                  <w:marBottom w:val="0"/>
                  <w:divBdr>
                    <w:top w:val="none" w:sz="0" w:space="0" w:color="auto"/>
                    <w:left w:val="none" w:sz="0" w:space="0" w:color="auto"/>
                    <w:bottom w:val="none" w:sz="0" w:space="0" w:color="auto"/>
                    <w:right w:val="none" w:sz="0" w:space="0" w:color="auto"/>
                  </w:divBdr>
                </w:div>
              </w:divsChild>
            </w:div>
            <w:div w:id="1533686247">
              <w:marLeft w:val="0"/>
              <w:marRight w:val="0"/>
              <w:marTop w:val="0"/>
              <w:marBottom w:val="0"/>
              <w:divBdr>
                <w:top w:val="none" w:sz="0" w:space="0" w:color="auto"/>
                <w:left w:val="none" w:sz="0" w:space="0" w:color="auto"/>
                <w:bottom w:val="none" w:sz="0" w:space="0" w:color="auto"/>
                <w:right w:val="none" w:sz="0" w:space="0" w:color="auto"/>
              </w:divBdr>
              <w:divsChild>
                <w:div w:id="19276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1020">
          <w:marLeft w:val="0"/>
          <w:marRight w:val="0"/>
          <w:marTop w:val="0"/>
          <w:marBottom w:val="0"/>
          <w:divBdr>
            <w:top w:val="none" w:sz="0" w:space="0" w:color="auto"/>
            <w:left w:val="none" w:sz="0" w:space="0" w:color="auto"/>
            <w:bottom w:val="none" w:sz="0" w:space="0" w:color="auto"/>
            <w:right w:val="none" w:sz="0" w:space="0" w:color="auto"/>
          </w:divBdr>
          <w:divsChild>
            <w:div w:id="1858735984">
              <w:marLeft w:val="0"/>
              <w:marRight w:val="0"/>
              <w:marTop w:val="0"/>
              <w:marBottom w:val="0"/>
              <w:divBdr>
                <w:top w:val="none" w:sz="0" w:space="0" w:color="auto"/>
                <w:left w:val="none" w:sz="0" w:space="0" w:color="auto"/>
                <w:bottom w:val="none" w:sz="0" w:space="0" w:color="auto"/>
                <w:right w:val="none" w:sz="0" w:space="0" w:color="auto"/>
              </w:divBdr>
              <w:divsChild>
                <w:div w:id="20588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0322">
      <w:bodyDiv w:val="1"/>
      <w:marLeft w:val="0"/>
      <w:marRight w:val="0"/>
      <w:marTop w:val="0"/>
      <w:marBottom w:val="0"/>
      <w:divBdr>
        <w:top w:val="none" w:sz="0" w:space="0" w:color="auto"/>
        <w:left w:val="none" w:sz="0" w:space="0" w:color="auto"/>
        <w:bottom w:val="none" w:sz="0" w:space="0" w:color="auto"/>
        <w:right w:val="none" w:sz="0" w:space="0" w:color="auto"/>
      </w:divBdr>
    </w:div>
    <w:div w:id="799347799">
      <w:bodyDiv w:val="1"/>
      <w:marLeft w:val="0"/>
      <w:marRight w:val="0"/>
      <w:marTop w:val="0"/>
      <w:marBottom w:val="0"/>
      <w:divBdr>
        <w:top w:val="none" w:sz="0" w:space="0" w:color="auto"/>
        <w:left w:val="none" w:sz="0" w:space="0" w:color="auto"/>
        <w:bottom w:val="none" w:sz="0" w:space="0" w:color="auto"/>
        <w:right w:val="none" w:sz="0" w:space="0" w:color="auto"/>
      </w:divBdr>
    </w:div>
    <w:div w:id="1220899271">
      <w:bodyDiv w:val="1"/>
      <w:marLeft w:val="0"/>
      <w:marRight w:val="0"/>
      <w:marTop w:val="0"/>
      <w:marBottom w:val="0"/>
      <w:divBdr>
        <w:top w:val="none" w:sz="0" w:space="0" w:color="auto"/>
        <w:left w:val="none" w:sz="0" w:space="0" w:color="auto"/>
        <w:bottom w:val="none" w:sz="0" w:space="0" w:color="auto"/>
        <w:right w:val="none" w:sz="0" w:space="0" w:color="auto"/>
      </w:divBdr>
      <w:divsChild>
        <w:div w:id="1372532004">
          <w:marLeft w:val="0"/>
          <w:marRight w:val="0"/>
          <w:marTop w:val="0"/>
          <w:marBottom w:val="0"/>
          <w:divBdr>
            <w:top w:val="none" w:sz="0" w:space="0" w:color="auto"/>
            <w:left w:val="none" w:sz="0" w:space="0" w:color="auto"/>
            <w:bottom w:val="none" w:sz="0" w:space="0" w:color="auto"/>
            <w:right w:val="none" w:sz="0" w:space="0" w:color="auto"/>
          </w:divBdr>
          <w:divsChild>
            <w:div w:id="1656567497">
              <w:marLeft w:val="0"/>
              <w:marRight w:val="0"/>
              <w:marTop w:val="0"/>
              <w:marBottom w:val="0"/>
              <w:divBdr>
                <w:top w:val="none" w:sz="0" w:space="0" w:color="auto"/>
                <w:left w:val="none" w:sz="0" w:space="0" w:color="auto"/>
                <w:bottom w:val="none" w:sz="0" w:space="0" w:color="auto"/>
                <w:right w:val="none" w:sz="0" w:space="0" w:color="auto"/>
              </w:divBdr>
              <w:divsChild>
                <w:div w:id="17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4738">
      <w:bodyDiv w:val="1"/>
      <w:marLeft w:val="0"/>
      <w:marRight w:val="0"/>
      <w:marTop w:val="0"/>
      <w:marBottom w:val="0"/>
      <w:divBdr>
        <w:top w:val="none" w:sz="0" w:space="0" w:color="auto"/>
        <w:left w:val="none" w:sz="0" w:space="0" w:color="auto"/>
        <w:bottom w:val="none" w:sz="0" w:space="0" w:color="auto"/>
        <w:right w:val="none" w:sz="0" w:space="0" w:color="auto"/>
      </w:divBdr>
      <w:divsChild>
        <w:div w:id="981428708">
          <w:marLeft w:val="0"/>
          <w:marRight w:val="0"/>
          <w:marTop w:val="0"/>
          <w:marBottom w:val="0"/>
          <w:divBdr>
            <w:top w:val="none" w:sz="0" w:space="0" w:color="auto"/>
            <w:left w:val="none" w:sz="0" w:space="0" w:color="auto"/>
            <w:bottom w:val="none" w:sz="0" w:space="0" w:color="auto"/>
            <w:right w:val="none" w:sz="0" w:space="0" w:color="auto"/>
          </w:divBdr>
          <w:divsChild>
            <w:div w:id="746652880">
              <w:marLeft w:val="0"/>
              <w:marRight w:val="0"/>
              <w:marTop w:val="0"/>
              <w:marBottom w:val="0"/>
              <w:divBdr>
                <w:top w:val="none" w:sz="0" w:space="0" w:color="auto"/>
                <w:left w:val="none" w:sz="0" w:space="0" w:color="auto"/>
                <w:bottom w:val="none" w:sz="0" w:space="0" w:color="auto"/>
                <w:right w:val="none" w:sz="0" w:space="0" w:color="auto"/>
              </w:divBdr>
              <w:divsChild>
                <w:div w:id="4985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1108">
          <w:marLeft w:val="0"/>
          <w:marRight w:val="0"/>
          <w:marTop w:val="0"/>
          <w:marBottom w:val="0"/>
          <w:divBdr>
            <w:top w:val="none" w:sz="0" w:space="0" w:color="auto"/>
            <w:left w:val="none" w:sz="0" w:space="0" w:color="auto"/>
            <w:bottom w:val="none" w:sz="0" w:space="0" w:color="auto"/>
            <w:right w:val="none" w:sz="0" w:space="0" w:color="auto"/>
          </w:divBdr>
          <w:divsChild>
            <w:div w:id="1095396959">
              <w:marLeft w:val="0"/>
              <w:marRight w:val="0"/>
              <w:marTop w:val="0"/>
              <w:marBottom w:val="0"/>
              <w:divBdr>
                <w:top w:val="none" w:sz="0" w:space="0" w:color="auto"/>
                <w:left w:val="none" w:sz="0" w:space="0" w:color="auto"/>
                <w:bottom w:val="none" w:sz="0" w:space="0" w:color="auto"/>
                <w:right w:val="none" w:sz="0" w:space="0" w:color="auto"/>
              </w:divBdr>
              <w:divsChild>
                <w:div w:id="1726491933">
                  <w:marLeft w:val="0"/>
                  <w:marRight w:val="0"/>
                  <w:marTop w:val="0"/>
                  <w:marBottom w:val="0"/>
                  <w:divBdr>
                    <w:top w:val="none" w:sz="0" w:space="0" w:color="auto"/>
                    <w:left w:val="none" w:sz="0" w:space="0" w:color="auto"/>
                    <w:bottom w:val="none" w:sz="0" w:space="0" w:color="auto"/>
                    <w:right w:val="none" w:sz="0" w:space="0" w:color="auto"/>
                  </w:divBdr>
                </w:div>
              </w:divsChild>
            </w:div>
            <w:div w:id="347408817">
              <w:marLeft w:val="0"/>
              <w:marRight w:val="0"/>
              <w:marTop w:val="0"/>
              <w:marBottom w:val="0"/>
              <w:divBdr>
                <w:top w:val="none" w:sz="0" w:space="0" w:color="auto"/>
                <w:left w:val="none" w:sz="0" w:space="0" w:color="auto"/>
                <w:bottom w:val="none" w:sz="0" w:space="0" w:color="auto"/>
                <w:right w:val="none" w:sz="0" w:space="0" w:color="auto"/>
              </w:divBdr>
              <w:divsChild>
                <w:div w:id="13990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6634">
          <w:marLeft w:val="0"/>
          <w:marRight w:val="0"/>
          <w:marTop w:val="0"/>
          <w:marBottom w:val="0"/>
          <w:divBdr>
            <w:top w:val="none" w:sz="0" w:space="0" w:color="auto"/>
            <w:left w:val="none" w:sz="0" w:space="0" w:color="auto"/>
            <w:bottom w:val="none" w:sz="0" w:space="0" w:color="auto"/>
            <w:right w:val="none" w:sz="0" w:space="0" w:color="auto"/>
          </w:divBdr>
          <w:divsChild>
            <w:div w:id="1472401206">
              <w:marLeft w:val="0"/>
              <w:marRight w:val="0"/>
              <w:marTop w:val="0"/>
              <w:marBottom w:val="0"/>
              <w:divBdr>
                <w:top w:val="none" w:sz="0" w:space="0" w:color="auto"/>
                <w:left w:val="none" w:sz="0" w:space="0" w:color="auto"/>
                <w:bottom w:val="none" w:sz="0" w:space="0" w:color="auto"/>
                <w:right w:val="none" w:sz="0" w:space="0" w:color="auto"/>
              </w:divBdr>
              <w:divsChild>
                <w:div w:id="18219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546">
      <w:bodyDiv w:val="1"/>
      <w:marLeft w:val="0"/>
      <w:marRight w:val="0"/>
      <w:marTop w:val="0"/>
      <w:marBottom w:val="0"/>
      <w:divBdr>
        <w:top w:val="none" w:sz="0" w:space="0" w:color="auto"/>
        <w:left w:val="none" w:sz="0" w:space="0" w:color="auto"/>
        <w:bottom w:val="none" w:sz="0" w:space="0" w:color="auto"/>
        <w:right w:val="none" w:sz="0" w:space="0" w:color="auto"/>
      </w:divBdr>
    </w:div>
    <w:div w:id="1723361643">
      <w:bodyDiv w:val="1"/>
      <w:marLeft w:val="0"/>
      <w:marRight w:val="0"/>
      <w:marTop w:val="0"/>
      <w:marBottom w:val="0"/>
      <w:divBdr>
        <w:top w:val="none" w:sz="0" w:space="0" w:color="auto"/>
        <w:left w:val="none" w:sz="0" w:space="0" w:color="auto"/>
        <w:bottom w:val="none" w:sz="0" w:space="0" w:color="auto"/>
        <w:right w:val="none" w:sz="0" w:space="0" w:color="auto"/>
      </w:divBdr>
    </w:div>
    <w:div w:id="2064983500">
      <w:bodyDiv w:val="1"/>
      <w:marLeft w:val="0"/>
      <w:marRight w:val="0"/>
      <w:marTop w:val="0"/>
      <w:marBottom w:val="0"/>
      <w:divBdr>
        <w:top w:val="none" w:sz="0" w:space="0" w:color="auto"/>
        <w:left w:val="none" w:sz="0" w:space="0" w:color="auto"/>
        <w:bottom w:val="none" w:sz="0" w:space="0" w:color="auto"/>
        <w:right w:val="none" w:sz="0" w:space="0" w:color="auto"/>
      </w:divBdr>
      <w:divsChild>
        <w:div w:id="737092584">
          <w:marLeft w:val="0"/>
          <w:marRight w:val="0"/>
          <w:marTop w:val="0"/>
          <w:marBottom w:val="0"/>
          <w:divBdr>
            <w:top w:val="none" w:sz="0" w:space="0" w:color="auto"/>
            <w:left w:val="none" w:sz="0" w:space="0" w:color="auto"/>
            <w:bottom w:val="none" w:sz="0" w:space="0" w:color="auto"/>
            <w:right w:val="none" w:sz="0" w:space="0" w:color="auto"/>
          </w:divBdr>
          <w:divsChild>
            <w:div w:id="1790465688">
              <w:marLeft w:val="0"/>
              <w:marRight w:val="0"/>
              <w:marTop w:val="0"/>
              <w:marBottom w:val="0"/>
              <w:divBdr>
                <w:top w:val="none" w:sz="0" w:space="0" w:color="auto"/>
                <w:left w:val="none" w:sz="0" w:space="0" w:color="auto"/>
                <w:bottom w:val="none" w:sz="0" w:space="0" w:color="auto"/>
                <w:right w:val="none" w:sz="0" w:space="0" w:color="auto"/>
              </w:divBdr>
              <w:divsChild>
                <w:div w:id="17491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935">
      <w:bodyDiv w:val="1"/>
      <w:marLeft w:val="0"/>
      <w:marRight w:val="0"/>
      <w:marTop w:val="0"/>
      <w:marBottom w:val="0"/>
      <w:divBdr>
        <w:top w:val="none" w:sz="0" w:space="0" w:color="auto"/>
        <w:left w:val="none" w:sz="0" w:space="0" w:color="auto"/>
        <w:bottom w:val="none" w:sz="0" w:space="0" w:color="auto"/>
        <w:right w:val="none" w:sz="0" w:space="0" w:color="auto"/>
      </w:divBdr>
    </w:div>
    <w:div w:id="2140418813">
      <w:bodyDiv w:val="1"/>
      <w:marLeft w:val="0"/>
      <w:marRight w:val="0"/>
      <w:marTop w:val="0"/>
      <w:marBottom w:val="0"/>
      <w:divBdr>
        <w:top w:val="none" w:sz="0" w:space="0" w:color="auto"/>
        <w:left w:val="none" w:sz="0" w:space="0" w:color="auto"/>
        <w:bottom w:val="none" w:sz="0" w:space="0" w:color="auto"/>
        <w:right w:val="none" w:sz="0" w:space="0" w:color="auto"/>
      </w:divBdr>
      <w:divsChild>
        <w:div w:id="1516577471">
          <w:marLeft w:val="0"/>
          <w:marRight w:val="0"/>
          <w:marTop w:val="0"/>
          <w:marBottom w:val="0"/>
          <w:divBdr>
            <w:top w:val="none" w:sz="0" w:space="0" w:color="auto"/>
            <w:left w:val="none" w:sz="0" w:space="0" w:color="auto"/>
            <w:bottom w:val="none" w:sz="0" w:space="0" w:color="auto"/>
            <w:right w:val="none" w:sz="0" w:space="0" w:color="auto"/>
          </w:divBdr>
          <w:divsChild>
            <w:div w:id="2123766034">
              <w:marLeft w:val="0"/>
              <w:marRight w:val="0"/>
              <w:marTop w:val="0"/>
              <w:marBottom w:val="0"/>
              <w:divBdr>
                <w:top w:val="none" w:sz="0" w:space="0" w:color="auto"/>
                <w:left w:val="none" w:sz="0" w:space="0" w:color="auto"/>
                <w:bottom w:val="none" w:sz="0" w:space="0" w:color="auto"/>
                <w:right w:val="none" w:sz="0" w:space="0" w:color="auto"/>
              </w:divBdr>
              <w:divsChild>
                <w:div w:id="5060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Hayes</dc:creator>
  <cp:keywords/>
  <dc:description/>
  <cp:lastModifiedBy>McCann, Elizabet B</cp:lastModifiedBy>
  <cp:revision>2</cp:revision>
  <cp:lastPrinted>2021-09-29T19:59:00Z</cp:lastPrinted>
  <dcterms:created xsi:type="dcterms:W3CDTF">2021-10-18T21:13:00Z</dcterms:created>
  <dcterms:modified xsi:type="dcterms:W3CDTF">2021-10-18T21:13:00Z</dcterms:modified>
</cp:coreProperties>
</file>